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6d2d0cc79476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1948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ENTE</w:t>
        </w:r>
      </w:r>
      <w:r>
        <w:rPr>
          <w:b/>
        </w:rPr>
        <w:t xml:space="preserve"> </w:t>
        <w:r>
          <w:rPr/>
          <w:t xml:space="preserve">H4154.1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1948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Entenman</w:t>
      </w:r>
    </w:p>
    <w:p>
      <w:pPr>
        <w:jc w:val="right"/>
      </w:pPr>
      <w:r>
        <w:rPr>
          <w:b/>
        </w:rPr>
        <w:t xml:space="preserve">ADOPTED 01/22/2020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19, after "July 1," strike "2019" and insert "2020"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20, after "July 1," strike "2030" and insert "2031"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8, after "January 1," strike "2030" and insert "2031"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Updates the dates to reflect that payments to qualified taxing districts begin July 1, 2020, and end July 1, 2031.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eb5c34d77494a" /></Relationships>
</file>