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b117226fe4e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6614</w:t>
      </w:r>
    </w:p>
    <w:p>
      <w:pPr>
        <w:jc w:val="center"/>
        <w:spacing w:before="480" w:after="0" w:line="240"/>
      </w:pPr>
      <w:r>
        <w:t xml:space="preserve">Chapter </w:t>
      </w:r>
      <w:r>
        <w:rPr/>
        <w:t xml:space="preserve">295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PROPERTY TAX--STATE LEVY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25</w:t>
            </w:r>
            <w:r>
              <w:t xml:space="preserve">  Nays </w:t>
              <w:t xml:space="preserve">23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59</w:t>
            </w:r>
            <w:r>
              <w:t xml:space="preserve">  Nays </w:t>
              <w:t xml:space="preserve">39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6614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3:11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6614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Mullet, Rolfes, Dhingra, and Frockt)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by reducing calendar year 2019 state property taxes and redirecting revenue to the education legacy trust account for fiscal year 2019; and amending RCW 84.52.065.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3rd sp.s. c 13 s 301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w:t>
      </w:r>
      <w:r>
        <w:t>((</w:t>
      </w:r>
      <w:r>
        <w:rPr>
          <w:strike/>
        </w:rPr>
        <w:t xml:space="preserve">shall</w:t>
      </w:r>
      <w:r>
        <w:t>))</w:t>
      </w:r>
      <w:r>
        <w:rPr/>
        <w:t xml:space="preserve"> </w:t>
      </w:r>
      <w:r>
        <w:rPr>
          <w:u w:val="single"/>
        </w:rPr>
        <w:t xml:space="preserve">must</w:t>
      </w:r>
      <w:r>
        <w:rPr/>
        <w:t xml:space="preserve">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w:t>
      </w:r>
      <w:r>
        <w:rPr>
          <w:u w:val="single"/>
        </w:rPr>
        <w:t xml:space="preserve">two dollars and forty cents per thousand dollars of assessed value in calendar year 2019 and</w:t>
      </w:r>
      <w:r>
        <w:rPr/>
        <w:t xml:space="preserve"> two dollars and seventy cents per thousand dollars of assessed value </w:t>
      </w:r>
      <w:r>
        <w:rPr>
          <w:u w:val="single"/>
        </w:rPr>
        <w:t xml:space="preserve">in calendar years 2018, 2020, and 2021. The state property tax levy rates provided in this subsection (2)(a)(i) are based</w:t>
      </w:r>
      <w:r>
        <w:rPr/>
        <w:t xml:space="preserv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w:t>
      </w:r>
      <w:r>
        <w:rPr>
          <w:u w:val="single"/>
        </w:rPr>
        <w:t xml:space="preserve">(i) Except as otherwise provided in this subsection, all t</w:t>
      </w:r>
      <w:r>
        <w:rPr/>
        <w:t xml:space="preserve">axes collected under this subsection (2) must be deposited into the state general fund.</w:t>
      </w:r>
    </w:p>
    <w:p>
      <w:pPr>
        <w:spacing w:before="0" w:after="0" w:line="408" w:lineRule="exact"/>
        <w:ind w:left="0" w:right="0" w:firstLine="576"/>
        <w:jc w:val="left"/>
      </w:pPr>
      <w:r>
        <w:rPr>
          <w:u w:val="single"/>
        </w:rPr>
        <w:t xml:space="preserve">(ii) For fiscal year 2019, nine hundred thirty-five million dollars of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86dea98291f74f9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d5751df2941ec" /><Relationship Type="http://schemas.openxmlformats.org/officeDocument/2006/relationships/footer" Target="/word/footer.xml" Id="R86dea98291f74f90" /></Relationships>
</file>