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2cbb0a8367489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6462</w:t>
      </w:r>
    </w:p>
    <w:p>
      <w:pPr>
        <w:jc w:val="center"/>
        <w:spacing w:before="480" w:after="0" w:line="240"/>
      </w:pPr>
      <w:r>
        <w:t xml:space="preserve">Chapter </w:t>
      </w:r>
      <w:r>
        <w:rPr/>
        <w:t xml:space="preserve">289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OIL TANK INSURANCE--REAL ESTATE DISCLOSURE</w:t>
      </w:r>
    </w:p>
    <w:p>
      <w:pPr>
        <w:spacing w:before="720" w:after="240" w:line="240" w:lineRule="exact"/>
        <w:ind w:left="0" w:right="0" w:firstLine="576"/>
        <w:jc w:val="center"/>
      </w:pPr>
      <w:r>
        <w:t xml:space="preserve">EFFECTIVE DATE: </w:t>
      </w:r>
      <w:r>
        <w:rPr/>
        <w:t xml:space="preserve">January 1, 2020</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13,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6462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3:04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6462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Angel and Mullet</w:t>
      </w:r>
    </w:p>
    <w:p/>
    <w:p>
      <w:r>
        <w:rPr>
          <w:t xml:space="preserve">Read first time 01/18/18.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seller's real estate disclosure regarding oil tank insurance; adding a new section to chapter 64.06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A seller of residential real property shall make available to the buyer the following statement: "This notice is to inform you that if the real property you are considering for purchase utilizes an oil tank for heating purposes, no cost insurance may be available from the pollution liability insurance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642bd87522ab49c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3a57927cb9409d" /><Relationship Type="http://schemas.openxmlformats.org/officeDocument/2006/relationships/footer" Target="/word/footer.xml" Id="R642bd87522ab49c8" /></Relationships>
</file>