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ad425d7b374b5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6157</w:t>
      </w:r>
    </w:p>
    <w:p>
      <w:pPr>
        <w:jc w:val="center"/>
        <w:spacing w:before="480" w:after="0" w:line="240"/>
      </w:pPr>
      <w:r>
        <w:t xml:space="preserve">Chapter </w:t>
      </w:r>
      <w:r>
        <w:rPr/>
        <w:t xml:space="preserve">193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HEALTH CARRIER PRIOR AUTHORIZATION--PROVIDER VISITS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2018</w:t>
            </w:r>
          </w:p>
          <w:p>
            <w:pPr>
              <w:ind w:left="0" w:right="0" w:firstLine="360"/>
            </w:pPr>
            <w:r>
              <w:t xml:space="preserve">Yeas </w:t>
              <w:t xml:space="preserve">42</w:t>
            </w:r>
            <w:r>
              <w:t xml:space="preserve">  Nays </w:t>
              <w:t xml:space="preserve">4</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90</w:t>
            </w:r>
            <w:r>
              <w:t xml:space="preserve">  Nays </w:t>
              <w:t xml:space="preserve">8</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6157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11:45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6157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Short, Kuderer, Rivers, Cleveland, Palumbo, Nelson, Becker, Walsh, Warnick, and Van De Wege)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prior authorization; and amending RCW 48.43.016.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016</w:t>
      </w:r>
      <w:r>
        <w:rPr/>
        <w:t xml:space="preserve"> and 2015 c 251 s 2 are each amended to read as follows:</w:t>
      </w:r>
    </w:p>
    <w:p>
      <w:pPr>
        <w:spacing w:before="0" w:after="0" w:line="408" w:lineRule="exact"/>
        <w:ind w:left="0" w:right="0" w:firstLine="576"/>
        <w:jc w:val="left"/>
      </w:pPr>
      <w:r>
        <w:rPr/>
        <w:t xml:space="preserve">(1) A health carrier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spacing w:before="0" w:after="0" w:line="408" w:lineRule="exact"/>
        <w:ind w:left="0" w:right="0" w:firstLine="576"/>
        <w:jc w:val="left"/>
      </w:pPr>
      <w:r>
        <w:rPr/>
        <w:t xml:space="preserve">(2) A health carrier may not require prior authorization for an </w:t>
      </w:r>
      <w:r>
        <w:rPr>
          <w:u w:val="single"/>
        </w:rPr>
        <w:t xml:space="preserve">initial</w:t>
      </w:r>
      <w:r>
        <w:rPr/>
        <w:t xml:space="preserve"> evaluation and management visit </w:t>
      </w:r>
      <w:r>
        <w:t>((</w:t>
      </w:r>
      <w:r>
        <w:rPr>
          <w:strike/>
        </w:rPr>
        <w:t xml:space="preserve">or an initial</w:t>
      </w:r>
      <w:r>
        <w:t>))</w:t>
      </w:r>
      <w:r>
        <w:rPr/>
        <w:t xml:space="preserve"> </w:t>
      </w:r>
      <w:r>
        <w:rPr>
          <w:u w:val="single"/>
        </w:rPr>
        <w:t xml:space="preserve">and up to six consecutive</w:t>
      </w:r>
      <w:r>
        <w:rPr/>
        <w:t xml:space="preserve"> treatment visit</w:t>
      </w:r>
      <w:r>
        <w:rPr>
          <w:u w:val="single"/>
        </w:rPr>
        <w:t xml:space="preserve">s</w:t>
      </w:r>
      <w:r>
        <w:rPr/>
        <w:t xml:space="preserve"> with a contracting provider in a new episode of </w:t>
      </w:r>
      <w:r>
        <w:rPr>
          <w:u w:val="single"/>
        </w:rPr>
        <w:t xml:space="preserve">care of</w:t>
      </w:r>
      <w:r>
        <w:rPr/>
        <w:t xml:space="preserve"> chiropractic, physical therapy, occupational therapy, East Asian medicine, massage therapy, or speech and hearing therapies </w:t>
      </w:r>
      <w:r>
        <w:rPr>
          <w:u w:val="single"/>
        </w:rPr>
        <w:t xml:space="preserve">that meet the standards of medical necessity and are subject to quantitative treatment limits of the health plan</w:t>
      </w:r>
      <w:r>
        <w:rPr/>
        <w:t xml:space="preserve">. Notwithstanding RCW 48.43.515(5) this section may not be interpreted to limit the ability of a health plan to require a referral or prescription for the therapies listed in this section.</w:t>
      </w:r>
    </w:p>
    <w:p>
      <w:pPr>
        <w:spacing w:before="0" w:after="0" w:line="408" w:lineRule="exact"/>
        <w:ind w:left="0" w:right="0" w:firstLine="576"/>
        <w:jc w:val="left"/>
      </w:pPr>
      <w:r>
        <w:rPr/>
        <w:t xml:space="preserve">(3) A health carrier shall post on its web site and provide upon the request of a covered person or contracting provider any prior authorization standards, criteria, or information the carrier uses for medical necessity decisions.</w:t>
      </w:r>
    </w:p>
    <w:p>
      <w:pPr>
        <w:spacing w:before="0" w:after="0" w:line="408" w:lineRule="exact"/>
        <w:ind w:left="0" w:right="0" w:firstLine="576"/>
        <w:jc w:val="left"/>
      </w:pPr>
      <w:r>
        <w:rPr/>
        <w:t xml:space="preserve">(4) A health care provider with whom a health carrier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spacing w:before="0" w:after="0" w:line="408" w:lineRule="exact"/>
        <w:ind w:left="0" w:right="0" w:firstLine="576"/>
        <w:jc w:val="left"/>
      </w:pPr>
      <w:r>
        <w:rPr/>
        <w:t xml:space="preserve">(5) A health carrier may not require a provider to provide a discount from usual and customary rates for health care services not covered under a health plan, policy, or other agreement, to which the provider is a party.</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"New episode of care" means treatment for a new or recurrent condition for which the enrollee has not been treated by the provider within the previous ninety days and is not currently undergoing any active treatment.</w:t>
      </w:r>
    </w:p>
    <w:p>
      <w:pPr>
        <w:spacing w:before="0" w:after="0" w:line="408" w:lineRule="exact"/>
        <w:ind w:left="0" w:right="0" w:firstLine="576"/>
        <w:jc w:val="left"/>
      </w:pPr>
      <w:r>
        <w:rPr/>
        <w:t xml:space="preserve">(b) "Contracting provider" does not include providers employed within an integrated delivery system operated by a carrier licensed under chapter 48.44 or 48.46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12,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5e6c6fa136224ef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6157.SL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157e5f0e4a4856" /><Relationship Type="http://schemas.openxmlformats.org/officeDocument/2006/relationships/footer" Target="/word/footer.xml" Id="R5e6c6fa136224efb" /></Relationships>
</file>