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efdb3bcb304e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6145</w:t>
      </w:r>
    </w:p>
    <w:p>
      <w:pPr>
        <w:jc w:val="center"/>
        <w:spacing w:before="480" w:after="0" w:line="240"/>
      </w:pPr>
      <w:r>
        <w:t xml:space="preserve">Chapter </w:t>
      </w:r>
      <w:r>
        <w:rPr/>
        <w:t xml:space="preserve">32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CIVIL SERVICE APPLICANTS--QUALIFICATIONS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31</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84</w:t>
            </w:r>
            <w:r>
              <w:t xml:space="preserve">  Nays </w:t>
              <w:t xml:space="preserve">14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9, 2018 2:05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6145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Saldaña, Keiser, Dhingra, and Kuderer</w:t>
      </w:r>
    </w:p>
    <w:p/>
    <w:p>
      <w:r>
        <w:rPr>
          <w:t xml:space="preserve">Read first time 01/09/18.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service qualifications; amending RCW 41.08.070, 41.12.070, 41.14.100, 43.101.080, and 43.101.095;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1972 ex.s. c 37 s 2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1972 ex.s. c 37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1963 c 95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2015 c 225 s 90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w:t>
      </w:r>
      <w:r>
        <w:t>((</w:t>
      </w:r>
      <w:r>
        <w:rPr>
          <w:strike/>
        </w:rPr>
        <w:t xml:space="preserve">innovate [innovative]</w:t>
      </w:r>
      <w:r>
        <w:t>))</w:t>
      </w:r>
      <w:r>
        <w:rPr/>
        <w:t xml:space="preserve"> </w:t>
      </w:r>
      <w:r>
        <w:rPr>
          <w:u w:val="single"/>
        </w:rPr>
        <w:t xml:space="preserve">innovative</w:t>
      </w:r>
      <w:r>
        <w:rPr/>
        <w:t xml:space="preser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2011 c 234 s 2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"Lawful permanent resident" has the same meaning afforded a person "lawfully admitted for permanent residence" in 8 U.S.C. Sec. 1101(a)(20), as of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0d2f42d74a01486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89bb9d5e64688" /><Relationship Type="http://schemas.openxmlformats.org/officeDocument/2006/relationships/footer" Target="/word/footer.xml" Id="R0d2f42d74a014869" /></Relationships>
</file>