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2334a6452e41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6136</w:t>
      </w:r>
    </w:p>
    <w:p>
      <w:pPr>
        <w:jc w:val="center"/>
        <w:spacing w:before="480" w:after="0" w:line="240"/>
      </w:pPr>
      <w:r>
        <w:t xml:space="preserve">Chapter </w:t>
      </w:r>
      <w:r>
        <w:rPr/>
        <w:t xml:space="preserve">73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AP COMPUTER SCIENCE--HIGH SCHOOL MATHEMATICS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45</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87</w:t>
            </w:r>
            <w:r>
              <w:t xml:space="preserve">  Nays </w:t>
              <w:t xml:space="preserve">11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6136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11:27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6136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Rolfes, Zeiger, Wellman, and Hasegawa; by request of Superintendent of Public Instruction</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concurrent enrollment requirement of algebra II for AP computer science courses to be counted as equivalent to high school mathematics; and reenacting and amending RCW 28A.230.097.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w:t>
      </w:r>
      <w:r>
        <w:t>((</w:t>
      </w:r>
      <w:r>
        <w:rPr>
          <w:strike/>
        </w:rPr>
        <w:t xml:space="preserve">In order for a board to approve AP computer science as equivalent to high school mathematics, the student must be concurrently enrolled in or have successfully completed algebra II.</w:t>
      </w:r>
      <w:r>
        <w:t>))</w:t>
      </w:r>
      <w:r>
        <w:rPr/>
        <w:t xml:space="preserve"> Beginning no later than the 2015-16 school year, a school district board of directors must, at a minimum, grant academic course equivalency in mathematics or science for a high school career and technical course from the list of courses approved by the state board of education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5ef7b41e622d4f4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93234c65eb4181" /><Relationship Type="http://schemas.openxmlformats.org/officeDocument/2006/relationships/footer" Target="/word/footer.xml" Id="R5ef7b41e622d4f47" /></Relationships>
</file>