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1a027bf664f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6127</w:t>
      </w:r>
    </w:p>
    <w:p>
      <w:pPr>
        <w:jc w:val="center"/>
        <w:spacing w:before="480" w:after="0" w:line="240"/>
      </w:pPr>
      <w:r>
        <w:t xml:space="preserve">Chapter </w:t>
      </w:r>
      <w:r>
        <w:rPr/>
        <w:t xml:space="preserve">190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STATE HALIBUT FISHERY--CATCH RECORD CARD FEE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46</w:t>
            </w:r>
            <w:r>
              <w:t xml:space="preserve">  Nays </w:t>
              <w:t xml:space="preserve">3</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76</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11:39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management of the state's halibut fishery; and amending RCW 77.32.430.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2011 c 339 s 9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w:t>
      </w:r>
      <w:r>
        <w:rPr>
          <w:u w:val="single"/>
        </w:rPr>
        <w:t xml:space="preserve">Except as provided in this section, t</w:t>
      </w:r>
      <w:r>
        <w:rPr/>
        <w:t xml:space="preserve">here is no charge for an initial catch record card. Each subsequent or duplicate catch record card costs eleven dollars.</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p>
    <w:p>
      <w:pPr>
        <w:spacing w:before="0" w:after="0" w:line="408" w:lineRule="exact"/>
        <w:ind w:left="0" w:right="0" w:firstLine="576"/>
        <w:jc w:val="left"/>
      </w:pPr>
      <w:r>
        <w:rPr/>
        <w:t xml:space="preserve">(3) Catch record cards issued with affixed temporary short-term charter stamp licenses are neither subject to the ten-dollar charge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w:t>
      </w:r>
      <w:r>
        <w:rPr>
          <w:u w:val="single"/>
        </w:rPr>
        <w:t xml:space="preserve">A catch record card for halibut may not cost more than five dollars when purchased with an annual saltwater or combination fishing license and must be provided at no cost for those who purchase a one-day temporary saltwater fishing license or one-day temporary charter stamp.</w:t>
      </w:r>
    </w:p>
    <w:p>
      <w:pPr>
        <w:spacing w:before="0" w:after="0" w:line="408" w:lineRule="exact"/>
        <w:ind w:left="0" w:right="0" w:firstLine="576"/>
        <w:jc w:val="left"/>
      </w:pPr>
      <w:r>
        <w:rPr>
          <w:u w:val="single"/>
        </w:rPr>
        <w:t xml:space="preserve">(5)</w:t>
      </w:r>
      <w:r>
        <w:rPr/>
        <w:t xml:space="preserve"> The department shall include provisions for recording marked and unmarked salmon in catch record cards issued after March 31, 2004.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funds received from the sale of catch record cards, catch card penalty fees, and the Dungeness crab endorsement must be deposited into the state wildlife account created in RCW 77.12.170.</w:t>
      </w:r>
    </w:p>
    <w:p>
      <w:pPr>
        <w:spacing w:before="0" w:after="0" w:line="408" w:lineRule="exact"/>
        <w:ind w:left="0" w:right="0" w:firstLine="576"/>
        <w:jc w:val="left"/>
      </w:pPr>
      <w:r>
        <w:rPr>
          <w:u w:val="single"/>
        </w:rPr>
        <w:t xml:space="preserve">(i)(A)</w:t>
      </w:r>
      <w:r>
        <w:rPr/>
        <w:t xml:space="preserve"> One dollar of the funds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u w:val="single"/>
        </w:rPr>
        <w:t xml:space="preserve">(B)</w:t>
      </w:r>
      <w:r>
        <w:rPr/>
        <w:t xml:space="preserve">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u w:val="single"/>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1a26e819563401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2af4971a354221" /><Relationship Type="http://schemas.openxmlformats.org/officeDocument/2006/relationships/footer" Target="/word/footer.xml" Id="Rf1a26e8195634013" /></Relationships>
</file>