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d2ee829ba649e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6124</w:t>
      </w:r>
    </w:p>
    <w:p>
      <w:pPr>
        <w:jc w:val="center"/>
        <w:spacing w:before="480" w:after="0" w:line="240"/>
      </w:pPr>
      <w:r>
        <w:t xml:space="preserve">Chapter </w:t>
      </w:r>
      <w:r>
        <w:rPr/>
        <w:t xml:space="preserve">305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INVOLUNTARY COMMITMENT ACT--COURT HEARINGS BY VIDEO</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14, 2018</w:t>
            </w:r>
          </w:p>
          <w:p>
            <w:pPr>
              <w:ind w:left="0" w:right="0" w:firstLine="360"/>
            </w:pPr>
            <w:r>
              <w:t xml:space="preserve">Yeas </w:t>
              <w:t xml:space="preserve">46</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6124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28, 2018 1:33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6124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Dhingra, Palumbo, Mullet, Frockt, Takko, Darneille, Rolfes, Billig, Cleveland, Kuderer, Wellman, Carlyle, Ranker, Hasegawa, Saldaña, Nelson, Keiser, McCoy, Van De Wege, Chase, and O'Ban)</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court hearings under the involuntary commitment act may be conducted by video; and amending RCW 71.05.020.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2017 3rd sp.s. c 14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(7)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social and health services;</w:t>
      </w:r>
    </w:p>
    <w:p>
      <w:pPr>
        <w:spacing w:before="0" w:after="0" w:line="408" w:lineRule="exact"/>
        <w:ind w:left="0" w:right="0" w:firstLine="576"/>
        <w:jc w:val="left"/>
      </w:pPr>
      <w:r>
        <w:rPr/>
        <w:t xml:space="preserve">(13)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(18)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(19)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(20)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(21)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(22) </w:t>
      </w:r>
      <w:r>
        <w:rPr>
          <w:u w:val="single"/>
        </w:rPr>
        <w:t xml:space="preserve">"Hearing"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rPr>
          <w:u w:val="single"/>
        </w:rPr>
        <w:t xml:space="preserve">(23)</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"Violent act" means behavior that resulted in homicide, attempted suicide, nonfatal injuries, or substantial damage to property.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14,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28,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ef99df02492d4a8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3d3efd6f1e47ef" /><Relationship Type="http://schemas.openxmlformats.org/officeDocument/2006/relationships/footer" Target="/word/footer.xml" Id="Ref99df02492d4a81" /></Relationships>
</file>