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116a71133f4e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6090</w:t>
      </w:r>
    </w:p>
    <w:p>
      <w:pPr>
        <w:jc w:val="center"/>
        <w:spacing w:before="480" w:after="0" w:line="240"/>
      </w:pPr>
      <w:r>
        <w:t xml:space="preserve">Chapter </w:t>
      </w:r>
      <w:r>
        <w:rPr/>
        <w:t xml:space="preserve">2</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CAPITAL BUDGET</w:t>
      </w:r>
    </w:p>
    <w:p>
      <w:pPr>
        <w:spacing w:before="720" w:after="240" w:line="240" w:lineRule="exact"/>
        <w:ind w:left="0" w:right="0" w:firstLine="576"/>
        <w:jc w:val="center"/>
      </w:pPr>
      <w:r>
        <w:t xml:space="preserve">EFFECTIVE DATE: </w:t>
      </w:r>
      <w:r>
        <w:rPr/>
        <w:t xml:space="preserve">January 19,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18,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6090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pPr>
            <w:r>
              <w:rPr>
                <w:b/>
              </w:rPr>
              <w:t>Chief Clerk</w:t>
            </w:r>
          </w:p>
          <w:t xml:space="preserve">Secretary</w:t>
        </w:tc>
      </w:tr>
      <w:tr>
        <w:tc>
          <w:tcPr>
            <w:tcW w:w="5040" w:type="dxa"/>
            <w:vAlign w:val="top"/>
          </w:tcPr>
          <w:p>
            <w:pPr>
              <w:spacing w:before="0" w:after="0" w:line="240"/>
            </w:pPr>
            <w:r>
              <w:t xml:space="preserve">Approved </w:t>
            </w:r>
            <w:r>
              <w:rPr>
                <w:rFonts w:ascii="Times New Roman" w:hAnsi="Times New Roman"/>
                <w:sz w:val="20"/>
              </w:rPr>
              <w:t xml:space="preserve">January 19, 2018 2:37 PM with the exception of Section 1034 which is vetoed.</w:t>
            </w:r>
          </w:p>
        </w:tc>
        <w:tc>
          <w:tcPr>
            <w:tcW w:w="4560" w:type="dxa"/>
            <w:vAlign w:val="top"/>
          </w:tcPr>
          <w:p>
            <w:pPr>
              <w:jc w:val="center"/>
            </w:pPr>
            <w:r>
              <w:rPr>
                <w:t xml:space="preserve">FILED</w:t>
              </w:rPr>
            </w:r>
          </w:p>
          <w:p>
            <w:pPr>
              <w:jc w:val="center"/>
            </w:pPr>
            <w:r>
              <w:rPr>
                <w:rFonts w:ascii="Times New Roman" w:hAnsi="Times New Roman"/>
                <w:sz w:val="20"/>
              </w:rPr>
              <w:t xml:space="preserve">January 19,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6090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Frockt, Honeyford, Mullet, Darneille, Liias, Palumbo, Takko, Keiser, Van De Wege, Hunt, Nelson, Dhingra, Chase, Saldaña, Rolfes, McCoy, Carlyle, Wellman, Ranker, and Kuderer)</w:t>
      </w:r>
    </w:p>
    <w:p/>
    <w:p>
      <w:r>
        <w:rPr>
          <w:t xml:space="preserve">READ FIRST TIME 01/16/18.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28B.20.725, and 28B.30.750; reenacting and amending RCW 43.19.501; amending 2017 3rd sp.s. c 4 ss 1017, 1040, 1048, 2001, and 3120 (uncodified); creating new sections; repealing 2017 3rd sp.s. c 4 ss 3043, 3059, and 3134 (uncodified);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July 1, 2017, and ending June 30, 2019, out of the several funds specified in this act. This authorization extends to reimbursement of any expenses incurred between July 1, 2017, and the effective date of this act that would have been authorized to occur or to be reimbursed under the terms of this act had it been in effect on July 1, 2017.</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Capital Budget Staffing Study (92000004)</w:t>
      </w:r>
    </w:p>
    <w:p>
      <w:pPr>
        <w:spacing w:before="120" w:after="0" w:line="408" w:lineRule="exact"/>
        <w:ind w:left="0" w:right="0" w:firstLine="576"/>
        <w:jc w:val="left"/>
      </w:pPr>
      <w:r>
        <w:rPr/>
        <w:t xml:space="preserve">The appropriation in this section is subject to the following conditions and limitations: $50,000 of the appropriation in this section, or as much thereof as may be needed, is provided solely for a study of staff funded by capital budget appropriations. The study must address, at a minimum, the following:</w:t>
      </w:r>
    </w:p>
    <w:p>
      <w:pPr>
        <w:spacing w:before="0" w:after="0" w:line="408" w:lineRule="exact"/>
        <w:ind w:left="0" w:right="0" w:firstLine="576"/>
        <w:jc w:val="left"/>
      </w:pPr>
      <w:r>
        <w:rPr/>
        <w:t xml:space="preserve">(1) The number of full time equivalent state employees funded by:</w:t>
      </w:r>
    </w:p>
    <w:p>
      <w:pPr>
        <w:spacing w:before="0" w:after="0" w:line="408" w:lineRule="exact"/>
        <w:ind w:left="0" w:right="0" w:firstLine="576"/>
        <w:jc w:val="left"/>
      </w:pPr>
      <w:r>
        <w:rPr/>
        <w:t xml:space="preserve">(a) Direct capital budget appropriations for capital program administration;</w:t>
      </w:r>
    </w:p>
    <w:p>
      <w:pPr>
        <w:spacing w:before="0" w:after="0" w:line="408" w:lineRule="exact"/>
        <w:ind w:left="0" w:right="0" w:firstLine="576"/>
        <w:jc w:val="left"/>
      </w:pPr>
      <w:r>
        <w:rPr/>
        <w:t xml:space="preserve">(b) Funds used for administration of grants and loans;</w:t>
      </w:r>
    </w:p>
    <w:p>
      <w:pPr>
        <w:spacing w:before="0" w:after="0" w:line="408" w:lineRule="exact"/>
        <w:ind w:left="0" w:right="0" w:firstLine="576"/>
        <w:jc w:val="left"/>
      </w:pPr>
      <w:r>
        <w:rPr/>
        <w:t xml:space="preserve">(c) Grants and loans for capital projects; and</w:t>
      </w:r>
    </w:p>
    <w:p>
      <w:pPr>
        <w:spacing w:before="0" w:after="0" w:line="408" w:lineRule="exact"/>
        <w:ind w:left="0" w:right="0" w:firstLine="576"/>
        <w:jc w:val="left"/>
      </w:pPr>
      <w:r>
        <w:rPr/>
        <w:t xml:space="preserve">(d) Any other capital budget appropriation;</w:t>
      </w:r>
    </w:p>
    <w:p>
      <w:pPr>
        <w:spacing w:before="0" w:after="0" w:line="408" w:lineRule="exact"/>
        <w:ind w:left="0" w:right="0" w:firstLine="576"/>
        <w:jc w:val="left"/>
      </w:pPr>
      <w:r>
        <w:rPr/>
        <w:t xml:space="preserve">(2) The number of full time equivalent state employees funded through bonds; and</w:t>
      </w:r>
    </w:p>
    <w:p>
      <w:pPr>
        <w:spacing w:before="0" w:after="0" w:line="408" w:lineRule="exact"/>
        <w:ind w:left="0" w:right="0" w:firstLine="576"/>
        <w:jc w:val="left"/>
      </w:pPr>
      <w:r>
        <w:rPr/>
        <w:t xml:space="preserve">(3) The number of full time equivalent state employees funded through other 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design. The design of the facility must consider the state printer remaining at the current location, or the design of the facility at a new location.</w:t>
      </w:r>
    </w:p>
    <w:p>
      <w:pPr>
        <w:spacing w:before="0" w:after="0" w:line="408" w:lineRule="exact"/>
        <w:ind w:left="0" w:right="0" w:firstLine="576"/>
        <w:jc w:val="left"/>
      </w:pPr>
      <w:r>
        <w:rPr/>
        <w:t xml:space="preserve">(2) All capital budget expenses, less current and previous appropriations, must be financed with a certificate of participation or other financing method fully supported using fees collected by the secretary of state. The secretary of state may consider the adjustment of fees, including the heritage center account, to support construction, future operating costs, and projected efficiencies of electronic document storage in determining necessary space, must be developed for construction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Ballot Boxes (91000015)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distressed rural counties that have difficulty implementing chapter 327, Laws of 2017 (Substitute Senate Bill No. 5472). Grants must be administered to counties at no more than $1,000 per location by the secretary of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 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$43,400,000 of the state building construction account</w:t>
      </w:r>
      <w:r>
        <w:rPr>
          <w:rFonts w:ascii="Times New Roman" w:hAnsi="Times New Roman"/>
        </w:rPr>
        <w:t xml:space="preserve">—</w:t>
      </w:r>
      <w:r>
        <w:rPr/>
        <w:t xml:space="preserve">state appropriation, and $5,370,000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Pine street owned by the state board of community and technical colleges. The property must be used to provide services and housing for homeless youth.</w:t>
      </w:r>
    </w:p>
    <w:p>
      <w:pPr>
        <w:spacing w:before="0" w:after="0" w:line="408" w:lineRule="exact"/>
        <w:ind w:left="0" w:right="0" w:firstLine="576"/>
        <w:jc w:val="left"/>
      </w:pPr>
      <w:r>
        <w:rPr/>
        <w:t xml:space="preserve">(f) $21,987,000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$3,000,000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(vii)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w:t>
      </w:r>
    </w:p>
    <w:p>
      <w:pPr>
        <w:spacing w:before="0" w:after="0" w:line="408" w:lineRule="exact"/>
        <w:ind w:left="0" w:right="0" w:firstLine="576"/>
        <w:jc w:val="left"/>
      </w:pPr>
      <w:r>
        <w:rPr/>
        <w:t xml:space="preserve">(viii) $6,000,000 is provided solely for grants to the following organizations using innovative methods to address homelessness: $3,000,000 for THA Arlington drive youth campus in Tacoma and $3,000,000 for a King county housing project.</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$5,370,000</w:t>
      </w:r>
    </w:p>
    <w:p>
      <w:pPr>
        <w:tabs>
          <w:tab w:val="right" w:leader="dot" w:pos="9936"/>
        </w:tabs>
        <w:ind w:left="0" w:right="0" w:firstLine="1440"/>
      </w:pPr>
      <w:r>
        <w:rPr/>
        <w:t xml:space="preserve">Subtotal Appropriation</w:t>
      </w:r>
      <w:r>
        <w:tab/>
      </w:r>
      <w:r>
        <w:rPr/>
        <w:t xml:space="preserve">$106,770,000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pPr>
      <w:r>
        <w:rPr/>
        <w:t xml:space="preserve">Boys and Girls Club of Chehalis (Growing Places Farm</w:t>
      </w:r>
    </w:p>
    <w:p>
      <w:pPr>
        <w:spacing w:before="0" w:after="0" w:line="408" w:lineRule="exact"/>
        <w:ind w:left="0" w:right="0" w:firstLine="1152"/>
        <w:jc w:val="left"/>
        <w:tabs>
          <w:tab w:val="right" w:leader="dot" w:pos="9936"/>
        </w:tabs>
      </w:pPr>
      <w:r>
        <w:rPr/>
        <w:t xml:space="preserve">and Energy Park)</w:t>
      </w:r>
      <w:r>
        <w:tab/>
      </w:r>
      <w:r>
        <w:rPr/>
        <w:t xml:space="preserve">$200,000</w:t>
      </w:r>
    </w:p>
    <w:p>
      <w:pPr>
        <w:spacing w:before="0" w:after="0" w:line="408" w:lineRule="exact"/>
        <w:ind w:left="0" w:right="0" w:firstLine="576"/>
        <w:jc w:val="left"/>
      </w:pPr>
      <w:r>
        <w:rPr/>
        <w:t xml:space="preserve">Boys &amp; Girls Clubs of Snohomish County (Lake Stevens</w:t>
      </w:r>
    </w:p>
    <w:p>
      <w:pPr>
        <w:spacing w:before="0" w:after="0" w:line="408" w:lineRule="exact"/>
        <w:ind w:left="0" w:right="0" w:firstLine="1152"/>
        <w:jc w:val="left"/>
        <w:tabs>
          <w:tab w:val="right" w:leader="dot" w:pos="9936"/>
        </w:tabs>
      </w:pPr>
      <w:r>
        <w:rPr/>
        <w:t xml:space="preserve">Boys &amp; Girls Club Teen Center Expansion)</w:t>
      </w:r>
      <w:r>
        <w:tab/>
      </w:r>
      <w:r>
        <w:rPr/>
        <w:t xml:space="preserve">$120,000</w:t>
      </w:r>
    </w:p>
    <w:p>
      <w:pPr>
        <w:spacing w:before="0" w:after="0" w:line="408" w:lineRule="exact"/>
        <w:ind w:left="0" w:right="0" w:firstLine="576"/>
        <w:jc w:val="left"/>
      </w:pPr>
      <w:r>
        <w:rPr/>
        <w:t xml:space="preserve">Boys &amp; Girls Clubs of Southwest Washington (Teen</w:t>
      </w:r>
    </w:p>
    <w:p>
      <w:pPr>
        <w:spacing w:before="0" w:after="0" w:line="408" w:lineRule="exact"/>
        <w:ind w:left="0" w:right="0" w:firstLine="1152"/>
        <w:jc w:val="left"/>
        <w:tabs>
          <w:tab w:val="right" w:leader="dot" w:pos="9936"/>
        </w:tabs>
      </w:pPr>
      <w:r>
        <w:rPr/>
        <w:t xml:space="preserve">Expansion at the Clinton &amp; Gloria John Club)</w:t>
      </w:r>
      <w:r>
        <w:tab/>
      </w:r>
      <w:r>
        <w:rPr/>
        <w:t xml:space="preserve">$328,000</w:t>
      </w:r>
    </w:p>
    <w:p>
      <w:pPr>
        <w:spacing w:before="0" w:after="0" w:line="408" w:lineRule="exact"/>
        <w:ind w:left="0" w:right="0" w:firstLine="576"/>
        <w:jc w:val="left"/>
      </w:pPr>
      <w:r>
        <w:rPr/>
        <w:t xml:space="preserve">Boys &amp; Girls Clubs of Snohomish County (Arlington</w:t>
      </w:r>
    </w:p>
    <w:p>
      <w:pPr>
        <w:spacing w:before="0" w:after="0" w:line="408" w:lineRule="exact"/>
        <w:ind w:left="0" w:right="0" w:firstLine="1152"/>
        <w:jc w:val="left"/>
        <w:tabs>
          <w:tab w:val="right" w:leader="dot" w:pos="9936"/>
        </w:tabs>
      </w:pPr>
      <w:r>
        <w:rPr/>
        <w:t xml:space="preserve">Boys &amp; Girls Club Expansion)</w:t>
      </w:r>
      <w:r>
        <w:tab/>
      </w:r>
      <w:r>
        <w:rPr/>
        <w:t xml:space="preserve">$99,000</w:t>
      </w:r>
    </w:p>
    <w:p>
      <w:pPr>
        <w:spacing w:before="0" w:after="0" w:line="408" w:lineRule="exact"/>
        <w:ind w:left="0" w:right="0" w:firstLine="576"/>
        <w:jc w:val="left"/>
      </w:pPr>
      <w:r>
        <w:rPr/>
        <w:t xml:space="preserve">Boys &amp; Girls Clubs of the Olympic Peninsula</w:t>
      </w:r>
    </w:p>
    <w:p>
      <w:pPr>
        <w:spacing w:before="0" w:after="0" w:line="408" w:lineRule="exact"/>
        <w:ind w:left="0" w:right="0" w:firstLine="1152"/>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pPr>
      <w:r>
        <w:rPr/>
        <w:t xml:space="preserve">YMCA of Greater Seattle (Kent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$1,170,000</w:t>
      </w:r>
    </w:p>
    <w:p>
      <w:pPr>
        <w:spacing w:before="0" w:after="0" w:line="408" w:lineRule="exact"/>
        <w:ind w:left="0" w:right="0" w:firstLine="576"/>
        <w:jc w:val="left"/>
      </w:pPr>
      <w:r>
        <w:rPr/>
        <w:t xml:space="preserve">YMCA of Greater Seattle (Auburn Valley YMCA Youth</w:t>
      </w:r>
    </w:p>
    <w:p>
      <w:pPr>
        <w:spacing w:before="0" w:after="0" w:line="408" w:lineRule="exact"/>
        <w:ind w:left="0" w:right="0" w:firstLine="1152"/>
        <w:jc w:val="left"/>
        <w:tabs>
          <w:tab w:val="right" w:leader="dot" w:pos="9936"/>
        </w:tabs>
      </w:pPr>
      <w:r>
        <w:rPr/>
        <w:t xml:space="preserve">Recreational Facilities Grant)</w:t>
      </w:r>
      <w:r>
        <w:tab/>
      </w:r>
      <w:r>
        <w:rPr/>
        <w:t xml:space="preserve">$763,000</w:t>
      </w:r>
    </w:p>
    <w:p>
      <w:pPr>
        <w:spacing w:before="0" w:after="0" w:line="408" w:lineRule="exact"/>
        <w:ind w:left="0" w:right="0" w:firstLine="576"/>
        <w:jc w:val="left"/>
      </w:pPr>
      <w:r>
        <w:rPr/>
        <w:t xml:space="preserve">YMCA of Greater Seattle (University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$1,114,000</w:t>
      </w:r>
    </w:p>
    <w:p>
      <w:pPr>
        <w:spacing w:before="0" w:after="0" w:line="408" w:lineRule="exact"/>
        <w:ind w:left="0" w:right="0" w:firstLine="576"/>
        <w:jc w:val="left"/>
        <w:tabs>
          <w:tab w:val="right" w:leader="dot" w:pos="9936"/>
        </w:tabs>
      </w:pPr>
      <w:r>
        <w:rPr/>
        <w:t xml:space="preserve">Friends of Lopez Island Pool (Lopez Island Pool)</w:t>
      </w:r>
      <w:r>
        <w:tab/>
      </w:r>
      <w:r>
        <w:rPr/>
        <w:t xml:space="preserve">$175,000</w:t>
      </w:r>
    </w:p>
    <w:p>
      <w:pPr>
        <w:spacing w:before="0" w:after="0" w:line="408" w:lineRule="exact"/>
        <w:ind w:left="0" w:right="0" w:firstLine="576"/>
        <w:jc w:val="left"/>
        <w:tabs>
          <w:tab w:val="right" w:leader="dot" w:pos="9936"/>
        </w:tabs>
      </w:pPr>
      <w:r>
        <w:rPr/>
        <w:t xml:space="preserve">Spokane Valley HUB (HUB Capital Campaign)</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 (Campaign for Town Hall)</w:t>
      </w:r>
      <w:r>
        <w:tab/>
      </w:r>
      <w:r>
        <w:rPr/>
        <w:t xml:space="preserve">$1,520,000</w:t>
      </w:r>
    </w:p>
    <w:p>
      <w:pPr>
        <w:spacing w:before="0" w:after="0" w:line="408" w:lineRule="exact"/>
        <w:ind w:left="0" w:right="0" w:firstLine="576"/>
        <w:jc w:val="left"/>
      </w:pPr>
      <w:r>
        <w:rPr/>
        <w:t xml:space="preserve">Pacific Northwest Ballet Association (Replacement</w:t>
      </w:r>
    </w:p>
    <w:p>
      <w:pPr>
        <w:spacing w:before="0" w:after="0" w:line="408" w:lineRule="exact"/>
        <w:ind w:left="0" w:right="0" w:firstLine="1152"/>
        <w:jc w:val="left"/>
        <w:tabs>
          <w:tab w:val="right" w:leader="dot" w:pos="9936"/>
        </w:tabs>
      </w:pPr>
      <w:r>
        <w:rPr/>
        <w:t xml:space="preserve">PNB School at the Francia Russell Center)</w:t>
      </w:r>
      <w:r>
        <w:tab/>
      </w:r>
      <w:r>
        <w:rPr/>
        <w:t xml:space="preserve">$1,520,000</w:t>
      </w:r>
    </w:p>
    <w:p>
      <w:pPr>
        <w:spacing w:before="0" w:after="0" w:line="408" w:lineRule="exact"/>
        <w:ind w:left="0" w:right="0" w:firstLine="576"/>
        <w:jc w:val="left"/>
        <w:tabs>
          <w:tab w:val="right" w:leader="dot" w:pos="9936"/>
        </w:tabs>
      </w:pPr>
      <w:r>
        <w:rPr/>
        <w:t xml:space="preserve">Seattle Art Museum (Asian Art Museum Renovation)</w:t>
      </w:r>
      <w:r>
        <w:tab/>
      </w:r>
      <w:r>
        <w:rPr/>
        <w:t xml:space="preserve">$1,520,000</w:t>
      </w:r>
    </w:p>
    <w:p>
      <w:pPr>
        <w:spacing w:before="0" w:after="0" w:line="408" w:lineRule="exact"/>
        <w:ind w:left="0" w:right="0" w:firstLine="576"/>
        <w:jc w:val="left"/>
        <w:tabs>
          <w:tab w:val="right" w:leader="dot" w:pos="9936"/>
        </w:tabs>
      </w:pPr>
      <w:r>
        <w:rPr/>
        <w:t xml:space="preserve">Chewelah PACA (Chewelah Center for the Arts)</w:t>
      </w:r>
      <w:r>
        <w:tab/>
      </w:r>
      <w:r>
        <w:rPr/>
        <w:t xml:space="preserve">$97,000</w:t>
      </w:r>
    </w:p>
    <w:p>
      <w:pPr>
        <w:spacing w:before="0" w:after="0" w:line="408" w:lineRule="exact"/>
        <w:ind w:left="0" w:right="0" w:firstLine="576"/>
        <w:jc w:val="left"/>
        <w:tabs>
          <w:tab w:val="right" w:leader="dot" w:pos="9936"/>
        </w:tabs>
      </w:pPr>
      <w:r>
        <w:rPr/>
        <w:t xml:space="preserve">Seattle Opera (Seattle Opera at the Center)</w:t>
      </w:r>
      <w:r>
        <w:tab/>
      </w:r>
      <w:r>
        <w:rPr/>
        <w:t xml:space="preserve">$1,520,000</w:t>
      </w:r>
    </w:p>
    <w:p>
      <w:pPr>
        <w:spacing w:before="0" w:after="0" w:line="408" w:lineRule="exact"/>
        <w:ind w:left="0" w:right="0" w:firstLine="576"/>
        <w:jc w:val="left"/>
        <w:tabs>
          <w:tab w:val="right" w:leader="dot" w:pos="9936"/>
        </w:tabs>
      </w:pPr>
      <w:r>
        <w:rPr/>
        <w:t xml:space="preserve">Tacoma Art Museum (Benaroya Building Project)</w:t>
      </w:r>
      <w:r>
        <w:tab/>
      </w:r>
      <w:r>
        <w:rPr/>
        <w:t xml:space="preserve">$1,020,000</w:t>
      </w:r>
    </w:p>
    <w:p>
      <w:pPr>
        <w:spacing w:before="0" w:after="0" w:line="408" w:lineRule="exact"/>
        <w:ind w:left="0" w:right="0" w:firstLine="576"/>
        <w:jc w:val="left"/>
      </w:pPr>
      <w:r>
        <w:rPr/>
        <w:t xml:space="preserve">Fort Worden Foundation (Sage Arts and Education</w:t>
      </w:r>
    </w:p>
    <w:p>
      <w:pPr>
        <w:spacing w:before="0" w:after="0" w:line="408" w:lineRule="exact"/>
        <w:ind w:left="0" w:right="0" w:firstLine="1152"/>
        <w:jc w:val="left"/>
        <w:tabs>
          <w:tab w:val="right" w:leader="dot" w:pos="9936"/>
        </w:tabs>
      </w:pPr>
      <w:r>
        <w:rPr/>
        <w:t xml:space="preserve">Building)</w:t>
      </w:r>
      <w:r>
        <w:tab/>
      </w:r>
      <w:r>
        <w:rPr/>
        <w:t xml:space="preserve">$1,270,000</w:t>
      </w:r>
    </w:p>
    <w:p>
      <w:pPr>
        <w:spacing w:before="0" w:after="0" w:line="408" w:lineRule="exact"/>
        <w:ind w:left="0" w:right="0" w:firstLine="576"/>
        <w:jc w:val="left"/>
      </w:pPr>
      <w:r>
        <w:rPr/>
        <w:t xml:space="preserve">Seattle Repertory Theatre (Renovating the PONCHO</w:t>
      </w:r>
    </w:p>
    <w:p>
      <w:pPr>
        <w:spacing w:before="0" w:after="0" w:line="408" w:lineRule="exact"/>
        <w:ind w:left="0" w:right="0" w:firstLine="1152"/>
        <w:jc w:val="left"/>
        <w:tabs>
          <w:tab w:val="right" w:leader="dot" w:pos="9936"/>
        </w:tabs>
      </w:pPr>
      <w:r>
        <w:rPr/>
        <w:t xml:space="preserve">Forum)</w:t>
      </w:r>
      <w:r>
        <w:tab/>
      </w:r>
      <w:r>
        <w:rPr/>
        <w:t xml:space="preserve">$258,000</w:t>
      </w:r>
    </w:p>
    <w:p>
      <w:pPr>
        <w:spacing w:before="0" w:after="0" w:line="408" w:lineRule="exact"/>
        <w:ind w:left="0" w:right="0" w:firstLine="576"/>
        <w:jc w:val="left"/>
      </w:pPr>
      <w:r>
        <w:rPr/>
        <w:t xml:space="preserve">Richard Hugo House (Hugo House: Building an Enduring</w:t>
      </w:r>
    </w:p>
    <w:p>
      <w:pPr>
        <w:spacing w:before="0" w:after="0" w:line="408" w:lineRule="exact"/>
        <w:ind w:left="0" w:right="0" w:firstLine="1152"/>
        <w:jc w:val="left"/>
        <w:tabs>
          <w:tab w:val="right" w:leader="dot" w:pos="9936"/>
        </w:tabs>
      </w:pPr>
      <w:r>
        <w:rPr/>
        <w:t xml:space="preserve">Home for Words)</w:t>
      </w:r>
      <w:r>
        <w:tab/>
      </w:r>
      <w:r>
        <w:rPr/>
        <w:t xml:space="preserve">$1,032,000</w:t>
      </w:r>
    </w:p>
    <w:p>
      <w:pPr>
        <w:spacing w:before="0" w:after="0" w:line="408" w:lineRule="exact"/>
        <w:ind w:left="0" w:right="0" w:firstLine="576"/>
        <w:jc w:val="left"/>
      </w:pPr>
      <w:r>
        <w:rPr/>
        <w:t xml:space="preserve">Washington Center for the Performing Arts (Theater</w:t>
      </w:r>
    </w:p>
    <w:p>
      <w:pPr>
        <w:spacing w:before="0" w:after="0" w:line="408" w:lineRule="exact"/>
        <w:ind w:left="0" w:right="0" w:firstLine="1152"/>
        <w:jc w:val="left"/>
        <w:tabs>
          <w:tab w:val="right" w:leader="dot" w:pos="9936"/>
        </w:tabs>
      </w:pPr>
      <w:r>
        <w:rPr/>
        <w:t xml:space="preserve">and Interior Revitalization)</w:t>
      </w:r>
      <w:r>
        <w:tab/>
      </w:r>
      <w:r>
        <w:rPr/>
        <w:t xml:space="preserve">$689,000</w:t>
      </w:r>
    </w:p>
    <w:p>
      <w:pPr>
        <w:spacing w:before="0" w:after="0" w:line="408" w:lineRule="exact"/>
        <w:ind w:left="0" w:right="0" w:firstLine="576"/>
        <w:jc w:val="left"/>
      </w:pPr>
      <w:r>
        <w:rPr/>
        <w:t xml:space="preserve">Admiral Theatre Foundation (Admiral Theatre</w:t>
      </w:r>
    </w:p>
    <w:p>
      <w:pPr>
        <w:spacing w:before="0" w:after="0" w:line="408" w:lineRule="exact"/>
        <w:ind w:left="0" w:right="0" w:firstLine="1152"/>
        <w:jc w:val="left"/>
        <w:tabs>
          <w:tab w:val="right" w:leader="dot" w:pos="9936"/>
        </w:tabs>
      </w:pPr>
      <w:r>
        <w:rPr/>
        <w:t xml:space="preserve">Renovation Part II)</w:t>
      </w:r>
      <w:r>
        <w:tab/>
      </w:r>
      <w:r>
        <w:rPr/>
        <w:t xml:space="preserve">$150,000</w:t>
      </w:r>
    </w:p>
    <w:p>
      <w:pPr>
        <w:spacing w:before="0" w:after="0" w:line="408" w:lineRule="exact"/>
        <w:ind w:left="0" w:right="0" w:firstLine="576"/>
        <w:jc w:val="left"/>
        <w:tabs>
          <w:tab w:val="right" w:leader="dot" w:pos="9936"/>
        </w:tabs>
      </w:pPr>
      <w:r>
        <w:rPr/>
        <w:t xml:space="preserve">Pratt Fine Arts Center (Pratt's Campus Expansion)</w:t>
      </w:r>
      <w:r>
        <w:tab/>
      </w:r>
      <w:r>
        <w:rPr/>
        <w:t xml:space="preserve">$520,000</w:t>
      </w:r>
    </w:p>
    <w:p>
      <w:pPr>
        <w:spacing w:before="0" w:after="0" w:line="408" w:lineRule="exact"/>
        <w:ind w:left="0" w:right="0" w:firstLine="576"/>
        <w:jc w:val="left"/>
      </w:pPr>
      <w:r>
        <w:rPr/>
        <w:t xml:space="preserve">Northwest Choirs (Northwest Choirs - Building</w:t>
      </w:r>
    </w:p>
    <w:p>
      <w:pPr>
        <w:spacing w:before="0" w:after="0" w:line="408" w:lineRule="exact"/>
        <w:ind w:left="0" w:right="0" w:firstLine="1152"/>
        <w:jc w:val="left"/>
        <w:tabs>
          <w:tab w:val="right" w:leader="dot" w:pos="9936"/>
        </w:tabs>
      </w:pPr>
      <w:r>
        <w:rPr/>
        <w:t xml:space="preserve">for Today and Tomorrow)</w:t>
      </w:r>
      <w:r>
        <w:tab/>
      </w:r>
      <w:r>
        <w:rPr/>
        <w:t xml:space="preserve">$75,000</w:t>
      </w:r>
    </w:p>
    <w:p>
      <w:pPr>
        <w:spacing w:before="0" w:after="0" w:line="408" w:lineRule="exact"/>
        <w:ind w:left="0" w:right="0" w:firstLine="576"/>
        <w:jc w:val="left"/>
      </w:pPr>
      <w:r>
        <w:rPr/>
        <w:t xml:space="preserve">Power House Theatre Walla Walla Inc. (Power House</w:t>
      </w:r>
    </w:p>
    <w:p>
      <w:pPr>
        <w:spacing w:before="0" w:after="0" w:line="408" w:lineRule="exact"/>
        <w:ind w:left="0" w:right="0" w:firstLine="1152"/>
        <w:jc w:val="left"/>
        <w:tabs>
          <w:tab w:val="right" w:leader="dot" w:pos="9936"/>
        </w:tabs>
      </w:pPr>
      <w:r>
        <w:rPr/>
        <w:t xml:space="preserve">Theatre Walla Walla Acquisition)</w:t>
      </w:r>
      <w:r>
        <w:tab/>
      </w:r>
      <w:r>
        <w:rPr/>
        <w:t xml:space="preserve">$335,000</w:t>
      </w:r>
    </w:p>
    <w:p>
      <w:pPr>
        <w:spacing w:before="0" w:after="0" w:line="408" w:lineRule="exact"/>
        <w:ind w:left="0" w:right="0" w:firstLine="576"/>
        <w:jc w:val="left"/>
      </w:pPr>
      <w:r>
        <w:rPr/>
        <w:t xml:space="preserve">Delridge Neighborhoods Development Association (DNDA)</w:t>
      </w:r>
    </w:p>
    <w:p>
      <w:pPr>
        <w:spacing w:before="0" w:after="0" w:line="408" w:lineRule="exact"/>
        <w:ind w:left="0" w:right="0" w:firstLine="1152"/>
        <w:jc w:val="left"/>
        <w:tabs>
          <w:tab w:val="right" w:leader="dot" w:pos="9936"/>
        </w:tabs>
      </w:pPr>
      <w:r>
        <w:rPr/>
        <w:t xml:space="preserve">(Youngstown Theater &amp; Kitchen Renovation Project)</w:t>
      </w:r>
      <w:r>
        <w:tab/>
      </w:r>
      <w:r>
        <w:rPr/>
        <w:t xml:space="preserve">$140,000</w:t>
      </w:r>
    </w:p>
    <w:p>
      <w:pPr>
        <w:spacing w:before="0" w:after="0" w:line="408" w:lineRule="exact"/>
        <w:ind w:left="0" w:right="0" w:firstLine="576"/>
        <w:jc w:val="left"/>
      </w:pPr>
      <w:r>
        <w:rPr/>
        <w:t xml:space="preserve">iDiOM Theater/Sylvia Center for the Arts (Sylvia Center</w:t>
      </w:r>
    </w:p>
    <w:p>
      <w:pPr>
        <w:spacing w:before="0" w:after="0" w:line="408" w:lineRule="exact"/>
        <w:ind w:left="0" w:right="0" w:firstLine="1152"/>
        <w:jc w:val="left"/>
        <w:tabs>
          <w:tab w:val="right" w:leader="dot" w:pos="9936"/>
        </w:tabs>
      </w:pPr>
      <w:r>
        <w:rPr/>
        <w:t xml:space="preserve">for the Arts)</w:t>
      </w:r>
      <w:r>
        <w:tab/>
      </w:r>
      <w:r>
        <w:rPr/>
        <w:t xml:space="preserve">$334,000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(Snohomish)</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(Snohomish)</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(King)</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(King)</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(King)</w:t>
      </w:r>
      <w:r>
        <w:tab/>
      </w:r>
      <w:r>
        <w:rPr/>
        <w:t xml:space="preserve">$3,500,000</w:t>
      </w:r>
    </w:p>
    <w:p>
      <w:pPr>
        <w:spacing w:before="0" w:after="0" w:line="408" w:lineRule="exact"/>
        <w:ind w:left="0" w:right="0" w:firstLine="576"/>
        <w:jc w:val="left"/>
        <w:tabs>
          <w:tab w:val="right" w:leader="dot" w:pos="9936"/>
        </w:tabs>
      </w:pPr>
      <w:r>
        <w:rPr/>
        <w:t xml:space="preserve">Isaacs Avenue Improvements - Phase 2 (Walla Walla)</w:t>
      </w:r>
      <w:r>
        <w:tab/>
      </w:r>
      <w:r>
        <w:rPr/>
        <w:t xml:space="preserve">$3,962,000</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rPr/>
        <w:t xml:space="preserve">Landslide Repairs (Aberdeen)</w:t>
      </w:r>
      <w:r>
        <w:tab/>
      </w:r>
      <w:r>
        <w:rPr/>
        <w:t xml:space="preserve">$373,000</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rPr/>
        <w:t xml:space="preserve">NE 10th Avenue (Clark)</w:t>
      </w:r>
      <w:r>
        <w:tab/>
      </w:r>
      <w:r>
        <w:rPr/>
        <w:t xml:space="preserve">$10,000,000</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rPr/>
        <w:t xml:space="preserve">Slater Road/Jordan Creek Fish Passage Project</w:t>
      </w:r>
    </w:p>
    <w:p>
      <w:pPr>
        <w:spacing w:before="0" w:after="0" w:line="408" w:lineRule="exact"/>
        <w:ind w:left="0" w:right="0" w:firstLine="1152"/>
        <w:jc w:val="left"/>
        <w:tabs>
          <w:tab w:val="right" w:leader="dot" w:pos="9936"/>
        </w:tabs>
      </w:pPr>
      <w:r>
        <w:rPr/>
        <w:t xml:space="preserve">(Whatcom)</w:t>
      </w:r>
      <w:r>
        <w:tab/>
      </w:r>
      <w:r>
        <w:rPr/>
        <w:t xml:space="preserve">$5,000,000</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(Lexington)</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(Thurston)</w:t>
      </w:r>
      <w:r>
        <w:tab/>
      </w:r>
      <w:r>
        <w:rPr/>
        <w:t xml:space="preserve">$1,028,000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(Lincoln)</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1017</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6003 of this act.</w:t>
      </w:r>
    </w:p>
    <w:p>
      <w:pPr>
        <w:spacing w:before="0" w:after="0" w:line="408" w:lineRule="exact"/>
        <w:ind w:left="0" w:right="0" w:firstLine="576"/>
        <w:jc w:val="left"/>
      </w:pPr>
      <w:r>
        <w:rPr>
          <w:u w:val="single"/>
        </w:rPr>
        <w:t xml:space="preserve">(2) $200,000 of the reappropriation is provided solely for credit enhancements of advanced solar and renewable energy manufacturing within Washington state.</w:t>
      </w:r>
    </w:p>
    <w:p>
      <w:pPr>
        <w:spacing w:before="0" w:after="0" w:line="408" w:lineRule="exact"/>
        <w:ind w:left="0" w:right="0" w:firstLine="576"/>
        <w:jc w:val="left"/>
      </w:pPr>
      <w:r>
        <w:rPr>
          <w:u w:val="single"/>
        </w:rPr>
        <w:t xml:space="preserve">(3) $13,600,000 of the reappropriation is provided solely to create a revolving loan fund to support the widespread use of proven energy efficiency and renewable energy, and transportation electrification technologies, including electric vehicle charging infrastructure and equipment for cars, trucks, and buses, upgrades to facilitate such as equipment and infrastructure, and acquisition of zero-emission buses and class 4-8 vehicles, including but not limited to trucks and passenger shuttles, now inhibited by lack of access to capital.</w:t>
      </w:r>
    </w:p>
    <w:p>
      <w:pPr>
        <w:spacing w:before="0" w:after="0" w:line="408" w:lineRule="exact"/>
        <w:ind w:left="0" w:right="0" w:firstLine="576"/>
        <w:jc w:val="left"/>
      </w:pPr>
      <w:r>
        <w:rPr>
          <w:u w:val="single"/>
        </w:rPr>
        <w:t xml:space="preserve">(4) $3,200,000 of the reappropriation is provided solely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(10) $2,400,000 of the state building construction account is provided solely for a project which, when fully deployed, will reduce emissions of greenhouse gases by a minimum of seven hundred fifty thousand tons per year, increase energy efficiency, and protect or create manufacturing jobs located in a county with a population of less than three hundred thousand.</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&amp; Girls Clubs of Snohomish County (Inchelium Boys</w:t>
      </w:r>
    </w:p>
    <w:p>
      <w:pPr>
        <w:spacing w:before="0" w:after="0" w:line="408" w:lineRule="exact"/>
        <w:ind w:left="0" w:right="0" w:firstLine="1152"/>
        <w:jc w:val="left"/>
        <w:tabs>
          <w:tab w:val="right" w:leader="dot" w:pos="9936"/>
        </w:tabs>
      </w:pPr>
      <w:r>
        <w:rPr/>
        <w:t xml:space="preserve">&amp; Girls Club Expansion)</w:t>
      </w:r>
      <w:r>
        <w:tab/>
      </w:r>
      <w:r>
        <w:rPr/>
        <w:t xml:space="preserve">$27,000</w:t>
      </w:r>
    </w:p>
    <w:p>
      <w:pPr>
        <w:spacing w:before="0" w:after="0" w:line="408" w:lineRule="exact"/>
        <w:ind w:left="0" w:right="0" w:firstLine="576"/>
        <w:jc w:val="left"/>
        <w:tabs>
          <w:tab w:val="right" w:leader="dot" w:pos="9936"/>
        </w:tabs>
      </w:pPr>
      <w:r>
        <w:rPr/>
        <w:t xml:space="preserve">Cocoon House (Colby Avenue Youth Center)</w:t>
      </w:r>
      <w:r>
        <w:tab/>
      </w:r>
      <w:r>
        <w:rPr/>
        <w:t xml:space="preserve">$635,000</w:t>
      </w:r>
    </w:p>
    <w:p>
      <w:pPr>
        <w:spacing w:before="0" w:after="0" w:line="408" w:lineRule="exact"/>
        <w:ind w:left="0" w:right="0" w:firstLine="576"/>
        <w:jc w:val="left"/>
      </w:pPr>
      <w:r>
        <w:rPr/>
        <w:t xml:space="preserve">Mercy Housing Northwest (Historic Building 9 Center</w:t>
      </w:r>
    </w:p>
    <w:p>
      <w:pPr>
        <w:spacing w:before="0" w:after="0" w:line="408" w:lineRule="exact"/>
        <w:ind w:left="0" w:right="0" w:firstLine="1152"/>
        <w:jc w:val="left"/>
        <w:tabs>
          <w:tab w:val="right" w:leader="dot" w:pos="9936"/>
        </w:tabs>
      </w:pPr>
      <w:r>
        <w:rPr/>
        <w:t xml:space="preserve">Building)</w:t>
      </w:r>
      <w:r>
        <w:tab/>
      </w:r>
      <w:r>
        <w:rPr/>
        <w:t xml:space="preserve">$1,000,000</w:t>
      </w:r>
    </w:p>
    <w:p>
      <w:pPr>
        <w:spacing w:before="0" w:after="0" w:line="408" w:lineRule="exact"/>
        <w:ind w:left="0" w:right="0" w:firstLine="576"/>
        <w:jc w:val="left"/>
      </w:pPr>
      <w:r>
        <w:rPr/>
        <w:t xml:space="preserve">Skagit Valley Family YMCA (New Skagit Valley Family</w:t>
      </w:r>
    </w:p>
    <w:p>
      <w:pPr>
        <w:spacing w:before="0" w:after="0" w:line="408" w:lineRule="exact"/>
        <w:ind w:left="0" w:right="0" w:firstLine="1152"/>
        <w:jc w:val="left"/>
        <w:tabs>
          <w:tab w:val="right" w:leader="dot" w:pos="9936"/>
        </w:tabs>
      </w:pPr>
      <w:r>
        <w:rPr/>
        <w:t xml:space="preserve">YMCA)</w:t>
      </w:r>
      <w:r>
        <w:tab/>
      </w:r>
      <w:r>
        <w:rPr/>
        <w:t xml:space="preserve">$3,500,000</w:t>
      </w:r>
    </w:p>
    <w:p>
      <w:pPr>
        <w:spacing w:before="0" w:after="0" w:line="408" w:lineRule="exact"/>
        <w:ind w:left="0" w:right="0" w:firstLine="576"/>
        <w:jc w:val="left"/>
        <w:tabs>
          <w:tab w:val="right" w:leader="dot" w:pos="9936"/>
        </w:tabs>
      </w:pPr>
      <w:r>
        <w:rPr/>
        <w:t xml:space="preserve">Edmonds Senior Center (Edmonds Waterfront Center)</w:t>
      </w:r>
      <w:r>
        <w:tab/>
      </w:r>
      <w:r>
        <w:rPr/>
        <w:t xml:space="preserve">$2,250,000</w:t>
      </w:r>
    </w:p>
    <w:p>
      <w:pPr>
        <w:spacing w:before="0" w:after="0" w:line="408" w:lineRule="exact"/>
        <w:ind w:left="0" w:right="0" w:firstLine="576"/>
        <w:jc w:val="left"/>
      </w:pPr>
      <w:r>
        <w:rPr/>
        <w:t xml:space="preserve">Opportunity Council (East Whatcom Regional Resource</w:t>
      </w:r>
    </w:p>
    <w:p>
      <w:pPr>
        <w:spacing w:before="0" w:after="0" w:line="408" w:lineRule="exact"/>
        <w:ind w:left="0" w:right="0" w:firstLine="1152"/>
        <w:jc w:val="left"/>
        <w:tabs>
          <w:tab w:val="right" w:leader="dot" w:pos="9936"/>
        </w:tabs>
      </w:pPr>
      <w:r>
        <w:rPr/>
        <w:t xml:space="preserve">Center Phase 2)</w:t>
      </w:r>
      <w:r>
        <w:tab/>
      </w:r>
      <w:r>
        <w:rPr/>
        <w:t xml:space="preserve">$500,000</w:t>
      </w:r>
    </w:p>
    <w:p>
      <w:pPr>
        <w:spacing w:before="0" w:after="0" w:line="408" w:lineRule="exact"/>
        <w:ind w:left="0" w:right="0" w:firstLine="576"/>
        <w:jc w:val="left"/>
      </w:pPr>
      <w:r>
        <w:rPr/>
        <w:t xml:space="preserve">Filipino Community of Seattle (Filipino Community</w:t>
      </w:r>
    </w:p>
    <w:p>
      <w:pPr>
        <w:spacing w:before="0" w:after="0" w:line="408" w:lineRule="exact"/>
        <w:ind w:left="0" w:right="0" w:firstLine="1152"/>
        <w:jc w:val="left"/>
        <w:tabs>
          <w:tab w:val="right" w:leader="dot" w:pos="9936"/>
        </w:tabs>
      </w:pPr>
      <w:r>
        <w:rPr/>
        <w:t xml:space="preserve">Innovation Learning Center)</w:t>
      </w:r>
      <w:r>
        <w:tab/>
      </w:r>
      <w:r>
        <w:rPr/>
        <w:t xml:space="preserve">$600,000</w:t>
      </w:r>
    </w:p>
    <w:p>
      <w:pPr>
        <w:spacing w:before="0" w:after="0" w:line="408" w:lineRule="exact"/>
        <w:ind w:left="0" w:right="0" w:firstLine="576"/>
        <w:jc w:val="left"/>
        <w:tabs>
          <w:tab w:val="right" w:leader="dot" w:pos="9936"/>
        </w:tabs>
      </w:pPr>
      <w:r>
        <w:rPr/>
        <w:t xml:space="preserve">Amara (Amara Building Renovation/Addition)</w:t>
      </w:r>
      <w:r>
        <w:tab/>
      </w:r>
      <w:r>
        <w:rPr/>
        <w:t xml:space="preserve">$1,550,000</w:t>
      </w:r>
    </w:p>
    <w:p>
      <w:pPr>
        <w:spacing w:before="0" w:after="0" w:line="408" w:lineRule="exact"/>
        <w:ind w:left="0" w:right="0" w:firstLine="576"/>
        <w:jc w:val="left"/>
        <w:tabs>
          <w:tab w:val="right" w:leader="dot" w:pos="9936"/>
        </w:tabs>
      </w:pPr>
      <w:r>
        <w:rPr/>
        <w:t xml:space="preserve">YMCA of Yakima (Yakima YMCA/Aquatic Center)</w:t>
      </w:r>
      <w:r>
        <w:tab/>
      </w:r>
      <w:r>
        <w:rPr/>
        <w:t xml:space="preserve">$3,500,000</w:t>
      </w:r>
    </w:p>
    <w:p>
      <w:pPr>
        <w:spacing w:before="0" w:after="0" w:line="408" w:lineRule="exact"/>
        <w:ind w:left="0" w:right="0" w:firstLine="576"/>
        <w:jc w:val="left"/>
      </w:pPr>
      <w:r>
        <w:rPr/>
        <w:t xml:space="preserve">Northwest Indian College (Health and Wellness</w:t>
      </w:r>
    </w:p>
    <w:p>
      <w:pPr>
        <w:spacing w:before="0" w:after="0" w:line="408" w:lineRule="exact"/>
        <w:ind w:left="0" w:right="0" w:firstLine="1152"/>
        <w:jc w:val="left"/>
        <w:tabs>
          <w:tab w:val="right" w:leader="dot" w:pos="9936"/>
        </w:tabs>
      </w:pPr>
      <w:r>
        <w:rPr/>
        <w:t xml:space="preserve">Center)</w:t>
      </w:r>
      <w:r>
        <w:tab/>
      </w:r>
      <w:r>
        <w:rPr/>
        <w:t xml:space="preserve">$1,750,000</w:t>
      </w:r>
    </w:p>
    <w:p>
      <w:pPr>
        <w:spacing w:before="0" w:after="0" w:line="408" w:lineRule="exact"/>
        <w:ind w:left="0" w:right="0" w:firstLine="576"/>
        <w:jc w:val="left"/>
        <w:tabs>
          <w:tab w:val="right" w:leader="dot" w:pos="9936"/>
        </w:tabs>
      </w:pPr>
      <w:r>
        <w:rPr/>
        <w:t xml:space="preserve">Lydia Place (Bell Tower Service Center)</w:t>
      </w:r>
      <w:r>
        <w:tab/>
      </w:r>
      <w:r>
        <w:rPr/>
        <w:t xml:space="preserve">$96,000</w:t>
      </w:r>
    </w:p>
    <w:p>
      <w:pPr>
        <w:spacing w:before="0" w:after="0" w:line="408" w:lineRule="exact"/>
        <w:ind w:left="0" w:right="0" w:firstLine="576"/>
        <w:jc w:val="left"/>
        <w:tabs>
          <w:tab w:val="right" w:leader="dot" w:pos="9936"/>
        </w:tabs>
      </w:pPr>
      <w:r>
        <w:rPr/>
        <w:t xml:space="preserve">Tacoma Community House (Tacoma Community House)</w:t>
      </w:r>
      <w:r>
        <w:tab/>
      </w:r>
      <w:r>
        <w:rPr/>
        <w:t xml:space="preserve">$2,500,000</w:t>
      </w:r>
    </w:p>
    <w:p>
      <w:pPr>
        <w:spacing w:before="0" w:after="0" w:line="408" w:lineRule="exact"/>
        <w:ind w:left="0" w:right="0" w:firstLine="576"/>
        <w:jc w:val="left"/>
      </w:pPr>
      <w:r>
        <w:rPr/>
        <w:t xml:space="preserve">Peace Community Center (Peace Community Center</w:t>
      </w:r>
    </w:p>
    <w:p>
      <w:pPr>
        <w:spacing w:before="0" w:after="0" w:line="408" w:lineRule="exact"/>
        <w:ind w:left="0" w:right="0" w:firstLine="1152"/>
        <w:jc w:val="left"/>
        <w:tabs>
          <w:tab w:val="right" w:leader="dot" w:pos="9936"/>
        </w:tabs>
      </w:pPr>
      <w:r>
        <w:rPr/>
        <w:t xml:space="preserve">Renovation and Expansion)</w:t>
      </w:r>
      <w:r>
        <w:tab/>
      </w:r>
      <w:r>
        <w:rPr/>
        <w:t xml:space="preserve">$330,000</w:t>
      </w:r>
    </w:p>
    <w:p>
      <w:pPr>
        <w:spacing w:before="0" w:after="0" w:line="408" w:lineRule="exact"/>
        <w:ind w:left="0" w:right="0" w:firstLine="576"/>
        <w:jc w:val="left"/>
      </w:pPr>
      <w:r>
        <w:rPr/>
        <w:t xml:space="preserve">North Kitsap Fishline Food Bank (Transforming Lives</w:t>
      </w:r>
    </w:p>
    <w:p>
      <w:pPr>
        <w:spacing w:before="0" w:after="0" w:line="408" w:lineRule="exact"/>
        <w:ind w:left="0" w:right="0" w:firstLine="1152"/>
        <w:jc w:val="left"/>
        <w:tabs>
          <w:tab w:val="right" w:leader="dot" w:pos="9936"/>
        </w:tabs>
      </w:pPr>
      <w:r>
        <w:rPr/>
        <w:t xml:space="preserve">in North Kitsap)</w:t>
      </w:r>
      <w:r>
        <w:tab/>
      </w:r>
      <w:r>
        <w:rPr/>
        <w:t xml:space="preserve">$530,000</w:t>
      </w:r>
    </w:p>
    <w:p>
      <w:pPr>
        <w:spacing w:before="0" w:after="0" w:line="408" w:lineRule="exact"/>
        <w:ind w:left="0" w:right="0" w:firstLine="576"/>
        <w:jc w:val="left"/>
      </w:pPr>
      <w:r>
        <w:rPr/>
        <w:t xml:space="preserve">Martha &amp; Mary Health Services (Martha &amp; Mary Health</w:t>
      </w:r>
    </w:p>
    <w:p>
      <w:pPr>
        <w:spacing w:before="0" w:after="0" w:line="408" w:lineRule="exact"/>
        <w:ind w:left="0" w:right="0" w:firstLine="1152"/>
        <w:jc w:val="left"/>
        <w:tabs>
          <w:tab w:val="right" w:leader="dot" w:pos="9936"/>
        </w:tabs>
      </w:pPr>
      <w:r>
        <w:rPr/>
        <w:t xml:space="preserve">and Rehab Campus Renovation)</w:t>
      </w:r>
      <w:r>
        <w:tab/>
      </w:r>
      <w:r>
        <w:rPr/>
        <w:t xml:space="preserve">$1,000,000</w:t>
      </w:r>
    </w:p>
    <w:p>
      <w:pPr>
        <w:spacing w:before="0" w:after="0" w:line="408" w:lineRule="exact"/>
        <w:ind w:left="0" w:right="0" w:firstLine="576"/>
        <w:jc w:val="left"/>
        <w:tabs>
          <w:tab w:val="right" w:leader="dot" w:pos="9936"/>
        </w:tabs>
      </w:pPr>
      <w:r>
        <w:rPr/>
        <w:t xml:space="preserve">Share (Share Day Center)</w:t>
      </w:r>
      <w:r>
        <w:tab/>
      </w:r>
      <w:r>
        <w:rPr/>
        <w:t xml:space="preserve">$180,000</w:t>
      </w:r>
    </w:p>
    <w:p>
      <w:pPr>
        <w:spacing w:before="0" w:after="0" w:line="408" w:lineRule="exact"/>
        <w:ind w:left="0" w:right="0" w:firstLine="576"/>
        <w:jc w:val="left"/>
      </w:pPr>
      <w:r>
        <w:rPr/>
        <w:t xml:space="preserve">Country Doctor Community Clinic (Campaign for Country</w:t>
      </w:r>
    </w:p>
    <w:p>
      <w:pPr>
        <w:spacing w:before="0" w:after="0" w:line="408" w:lineRule="exact"/>
        <w:ind w:left="0" w:right="0" w:firstLine="1152"/>
        <w:jc w:val="left"/>
        <w:tabs>
          <w:tab w:val="right" w:leader="dot" w:pos="9936"/>
        </w:tabs>
      </w:pPr>
      <w:r>
        <w:rPr/>
        <w:t xml:space="preserve">Doctor)</w:t>
      </w:r>
      <w:r>
        <w:tab/>
      </w:r>
      <w:r>
        <w:rPr/>
        <w:t xml:space="preserve">$1,575,000</w:t>
      </w:r>
    </w:p>
    <w:p>
      <w:pPr>
        <w:spacing w:before="0" w:after="0" w:line="408" w:lineRule="exact"/>
        <w:ind w:left="0" w:right="0" w:firstLine="576"/>
        <w:jc w:val="left"/>
        <w:tabs>
          <w:tab w:val="right" w:leader="dot" w:pos="9936"/>
        </w:tabs>
      </w:pPr>
      <w:r>
        <w:rPr/>
        <w:t xml:space="preserve">CDM Caregiving Services (Aging with Dignity)</w:t>
      </w:r>
      <w:r>
        <w:tab/>
      </w:r>
      <w:r>
        <w:rPr/>
        <w:t xml:space="preserve">$395,000</w:t>
      </w:r>
    </w:p>
    <w:p>
      <w:pPr>
        <w:spacing w:before="0" w:after="0" w:line="408" w:lineRule="exact"/>
        <w:ind w:left="0" w:right="0" w:firstLine="576"/>
        <w:jc w:val="left"/>
        <w:tabs>
          <w:tab w:val="right" w:leader="dot" w:pos="9936"/>
        </w:tabs>
      </w:pPr>
      <w:r>
        <w:rPr/>
        <w:t xml:space="preserve">Friends of Youth (Friends of Youth Snoqualmie Office)</w:t>
      </w:r>
      <w:r>
        <w:tab/>
      </w:r>
      <w:r>
        <w:rPr/>
        <w:t xml:space="preserve">$300,000</w:t>
      </w:r>
    </w:p>
    <w:p>
      <w:pPr>
        <w:spacing w:before="0" w:after="0" w:line="408" w:lineRule="exact"/>
        <w:ind w:left="0" w:right="0" w:firstLine="576"/>
        <w:jc w:val="left"/>
      </w:pPr>
      <w:r>
        <w:rPr/>
        <w:t xml:space="preserve">Helping Hands Food Bank (Helping Hands Food Bank</w:t>
      </w:r>
    </w:p>
    <w:p>
      <w:pPr>
        <w:spacing w:before="0" w:after="0" w:line="408" w:lineRule="exact"/>
        <w:ind w:left="0" w:right="0" w:firstLine="1152"/>
        <w:jc w:val="left"/>
        <w:tabs>
          <w:tab w:val="right" w:leader="dot" w:pos="9936"/>
        </w:tabs>
      </w:pPr>
      <w:r>
        <w:rPr/>
        <w:t xml:space="preserve">Building)</w:t>
      </w:r>
      <w:r>
        <w:tab/>
      </w:r>
      <w:r>
        <w:rPr/>
        <w:t xml:space="preserve">$350,000</w:t>
      </w:r>
    </w:p>
    <w:p>
      <w:pPr>
        <w:spacing w:before="0" w:after="0" w:line="408" w:lineRule="exact"/>
        <w:ind w:left="0" w:right="0" w:firstLine="576"/>
        <w:jc w:val="left"/>
      </w:pPr>
      <w:r>
        <w:rPr/>
        <w:t xml:space="preserve">Catholic Community Services of King County (New</w:t>
      </w:r>
    </w:p>
    <w:p>
      <w:pPr>
        <w:spacing w:before="0" w:after="0" w:line="408" w:lineRule="exact"/>
        <w:ind w:left="0" w:right="0" w:firstLine="1152"/>
        <w:jc w:val="left"/>
        <w:tabs>
          <w:tab w:val="right" w:leader="dot" w:pos="9936"/>
        </w:tabs>
      </w:pPr>
      <w:r>
        <w:rPr/>
        <w:t xml:space="preserve">Hope House)</w:t>
      </w:r>
      <w:r>
        <w:tab/>
      </w:r>
      <w:r>
        <w:rPr/>
        <w:t xml:space="preserve">$190,000</w:t>
      </w:r>
    </w:p>
    <w:p>
      <w:pPr>
        <w:spacing w:before="0" w:after="0" w:line="408" w:lineRule="exact"/>
        <w:ind w:left="0" w:right="0" w:firstLine="576"/>
        <w:jc w:val="left"/>
      </w:pPr>
      <w:r>
        <w:rPr/>
        <w:t xml:space="preserve">Bridgeview Housing (Bridgeview Education &amp; Employment</w:t>
      </w:r>
    </w:p>
    <w:p>
      <w:pPr>
        <w:spacing w:before="0" w:after="0" w:line="408" w:lineRule="exact"/>
        <w:ind w:left="0" w:right="0" w:firstLine="1152"/>
        <w:jc w:val="left"/>
        <w:tabs>
          <w:tab w:val="right" w:leader="dot" w:pos="9936"/>
        </w:tabs>
      </w:pPr>
      <w:r>
        <w:rPr/>
        <w:t xml:space="preserve">Resource Center)</w:t>
      </w:r>
      <w:r>
        <w:tab/>
      </w:r>
      <w:r>
        <w:rPr/>
        <w:t xml:space="preserve">$700,000</w:t>
      </w:r>
    </w:p>
    <w:p>
      <w:pPr>
        <w:spacing w:before="0" w:after="0" w:line="408" w:lineRule="exact"/>
        <w:ind w:left="0" w:right="0" w:firstLine="576"/>
        <w:jc w:val="left"/>
        <w:tabs>
          <w:tab w:val="right" w:leader="dot" w:pos="9936"/>
        </w:tabs>
      </w:pPr>
      <w:r>
        <w:rPr/>
        <w:t xml:space="preserve">Aging in PACE Washington (Aging in PACE)</w:t>
      </w:r>
      <w:r>
        <w:tab/>
      </w:r>
      <w:r>
        <w:rPr/>
        <w:t xml:space="preserve">$3,000,000</w:t>
      </w:r>
    </w:p>
    <w:p>
      <w:pPr>
        <w:spacing w:before="0" w:after="0" w:line="408" w:lineRule="exact"/>
        <w:ind w:left="0" w:right="0" w:firstLine="576"/>
        <w:jc w:val="left"/>
      </w:pPr>
      <w:r>
        <w:rPr/>
        <w:t xml:space="preserve">YMCA of Greater Seattle (Kent YMCA Building</w:t>
      </w:r>
    </w:p>
    <w:p>
      <w:pPr>
        <w:spacing w:before="0" w:after="0" w:line="408" w:lineRule="exact"/>
        <w:ind w:left="0" w:right="0" w:firstLine="1152"/>
        <w:jc w:val="left"/>
        <w:tabs>
          <w:tab w:val="right" w:leader="dot" w:pos="9936"/>
        </w:tabs>
      </w:pPr>
      <w:r>
        <w:rPr/>
        <w:t xml:space="preserve">Communities Grant)</w:t>
      </w:r>
      <w:r>
        <w:tab/>
      </w:r>
      <w:r>
        <w:rPr/>
        <w:t xml:space="preserve">$3,000,000</w:t>
      </w:r>
    </w:p>
    <w:p>
      <w:pPr>
        <w:spacing w:before="0" w:after="0" w:line="408" w:lineRule="exact"/>
        <w:ind w:left="0" w:right="0" w:firstLine="576"/>
        <w:jc w:val="left"/>
      </w:pPr>
      <w:r>
        <w:rPr/>
        <w:t xml:space="preserve">Brigid Collins House - (Brigid Collins</w:t>
      </w:r>
    </w:p>
    <w:p>
      <w:pPr>
        <w:spacing w:before="0" w:after="0" w:line="408" w:lineRule="exact"/>
        <w:ind w:left="0" w:right="0" w:firstLine="1152"/>
        <w:jc w:val="left"/>
        <w:tabs>
          <w:tab w:val="right" w:leader="dot" w:pos="9936"/>
        </w:tabs>
      </w:pPr>
      <w:r>
        <w:rPr/>
        <w:t xml:space="preserve">Family Support Center)</w:t>
      </w:r>
      <w:r>
        <w:tab/>
      </w:r>
      <w:r>
        <w:rPr/>
        <w:t xml:space="preserve">$42,000</w:t>
      </w:r>
    </w:p>
    <w:p>
      <w:pPr>
        <w:spacing w:before="0" w:after="0" w:line="408" w:lineRule="exact"/>
        <w:ind w:left="0" w:right="0" w:firstLine="576"/>
        <w:jc w:val="left"/>
        <w:tabs>
          <w:tab w:val="right" w:leader="dot" w:pos="9936"/>
        </w:tabs>
      </w:pPr>
      <w:r>
        <w:rPr/>
        <w:t xml:space="preserve">Step By Step Family Support Center</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tabs>
          <w:tab w:val="right" w:leader="dot" w:pos="9936"/>
        </w:tabs>
      </w:pPr>
      <w:r>
        <w:rPr/>
        <w:t xml:space="preserve">Asia Pacific Cultural Center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Coordinated and Safe Service Center (Redmond)</w:t>
      </w:r>
      <w:r>
        <w:tab/>
      </w:r>
      <w:r>
        <w:rPr/>
        <w:t xml:space="preserve">$309,000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Japanese Gulch Creek Restoration Project (Mukilteo)</w:t>
      </w:r>
      <w:r>
        <w:tab/>
      </w:r>
      <w:r>
        <w:rPr/>
        <w:t xml:space="preserve">$721,000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$1,500,000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These state funds are contingent on securing at least $1,000,000 in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$130,529,000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$3,504,000 of the early learning facilities development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120" w:after="0" w:line="408" w:lineRule="exact"/>
        <w:ind w:left="0" w:right="0" w:firstLine="576"/>
        <w:jc w:val="left"/>
      </w:pPr>
      <w:r>
        <w:rPr/>
        <w:t xml:space="preserve">(2) $11,996,000 of the early learning facilities revolving account</w:t>
      </w:r>
      <w:r>
        <w:rPr>
          <w:rFonts w:ascii="Times New Roman" w:hAnsi="Times New Roman"/>
        </w:rPr>
        <w:t xml:space="preserve">—</w:t>
      </w:r>
      <w:r>
        <w:rPr/>
        <w:t xml:space="preserve">state appropriation in this section is provided solely for early learning facility grants and loans specified in sections 3 through 11, chapter 12, Laws of 2017, 3rd sp. sess.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rPr/>
        <w:t xml:space="preserve">(3) If the bill referenced in subsection (2) of this section is not enacted by July 31, 2017, the amount provided in subsection (2)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$12,286,000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tabs>
          <w:tab w:val="right" w:leader="dot" w:pos="9936"/>
        </w:tabs>
      </w:pPr>
      <w:r>
        <w:rPr/>
        <w:t xml:space="preserve">North Olympia Healthcare Network (Port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$36,600,000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$11,400,000 is provided solely for crisis diversion or stabilization facilities that are not subject to federal funding restrictions that apply to institutions of mental diseases. At least two of the facilities must be located in King county and one must be located in Pierce county;</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(a)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p>
    <w:p>
      <w:pPr>
        <w:spacing w:before="0" w:after="0" w:line="408" w:lineRule="exact"/>
        <w:ind w:left="0" w:right="0" w:firstLine="576"/>
        <w:jc w:val="left"/>
      </w:pPr>
      <w:r>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t xml:space="preserve">(C) Is located in a rural community as defined by the board, or a rural county; or</w:t>
      </w:r>
    </w:p>
    <w:p>
      <w:pPr>
        <w:spacing w:before="0" w:after="0" w:line="408" w:lineRule="exact"/>
        <w:ind w:left="0" w:right="0" w:firstLine="576"/>
        <w:jc w:val="left"/>
      </w:pPr>
      <w:r>
        <w:rPr/>
        <w:t xml:space="preserve">(ii) For a project that does not meet the requirements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 seismic study regarding suspected unreinforced masonry buildings in Washington state. The study must include a list and map of suspected unreinforced masonry buildings, excluding single-family housing, and be produced by utilizing existing survey and data sources to the greatest extent possible. The study may incorporate random sampling, site visits, and other means to inform the study. The study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September 1,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1040</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1077, chapter 19, Laws of 2013 2nd sp. sess.</w:t>
      </w:r>
    </w:p>
    <w:p>
      <w:pPr>
        <w:spacing w:before="0" w:after="0" w:line="408" w:lineRule="exact"/>
        <w:ind w:left="0" w:right="0" w:firstLine="576"/>
        <w:jc w:val="left"/>
      </w:pPr>
      <w:r>
        <w:rPr>
          <w:u w:val="single"/>
        </w:rPr>
        <w:t xml:space="preserve">(2) $1,500,000 of the reappropriation is provided solely for the basin 3 sewer rehabilitation project rather than the city of Shelton wastewater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Adaptive Reuse Study (91001154)</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an adaptive reuse study for the Seattle vocational institute building and property located at 2120 south Jackson street. The study must quantify the costs of repair and improvements for the various potential uses and analyze financing under different ownership scenarios. The evaluation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$611,000</w:t>
      </w:r>
    </w:p>
    <w:p>
      <w:pPr>
        <w:tabs>
          <w:tab w:val="right" w:leader="dot" w:pos="9936"/>
        </w:tabs>
        <w:ind w:left="0" w:right="0" w:firstLine="1440"/>
      </w:pPr>
      <w:r>
        <w:rPr/>
        <w:t xml:space="preserve">Subtotal Appropriation</w:t>
      </w:r>
      <w:r>
        <w:tab/>
      </w:r>
      <w:r>
        <w:rPr/>
        <w:t xml:space="preserve">$1,222,000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1048</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1077, chapter 3, Laws of 2015 3rd sp. sess.</w:t>
      </w:r>
    </w:p>
    <w:p>
      <w:pPr>
        <w:spacing w:before="0" w:after="0" w:line="408" w:lineRule="exact"/>
        <w:ind w:left="0" w:right="0" w:firstLine="576"/>
        <w:jc w:val="left"/>
      </w:pPr>
      <w:r>
        <w:rPr>
          <w:u w:val="single"/>
        </w:rPr>
        <w:t xml:space="preserve">(2) The Carver academic renovation project, funded in section 5048, chapter 3, Laws of 2015 3rd sp. sess., is an eligible construction project pursuant to subsection (1) of this section.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Contingency Pool (91000436)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parks projects that are reduced. The state parks and recreation commission must provide sufficient evidence that a project cannot move forward without additional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December 10,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September 1,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 Parks Capital Projects Study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office of financial management, in consultation with the state parks and recreation commission, shall develop a study of the commission's capital budget process. The study shall be contracted to an independent third-party consultant with expertise in the state capital budget development process, capital project cost estimating, value engineering, and related professional fields. The study must be provided to the fiscal committees of the legislature by September 1, 2018. The purpose of the study is to evaluate commission practices in comparison with best practices in public sector capital program design and execution.</w:t>
      </w:r>
    </w:p>
    <w:p>
      <w:pPr>
        <w:spacing w:before="0" w:after="0" w:line="408" w:lineRule="exact"/>
        <w:ind w:left="0" w:right="0" w:firstLine="576"/>
        <w:jc w:val="left"/>
      </w:pPr>
      <w:r>
        <w:rPr/>
        <w:t xml:space="preserve">The study must include an assessment of:</w:t>
      </w:r>
    </w:p>
    <w:p>
      <w:pPr>
        <w:spacing w:before="0" w:after="0" w:line="408" w:lineRule="exact"/>
        <w:ind w:left="0" w:right="0" w:firstLine="576"/>
        <w:jc w:val="left"/>
      </w:pPr>
      <w:r>
        <w:rPr/>
        <w:t xml:space="preserve">(1) The commission's capital budget development process for its 2019-2021 biennial budget and ten-year capital plan, including analysis of:</w:t>
      </w:r>
    </w:p>
    <w:p>
      <w:pPr>
        <w:spacing w:before="0" w:after="0" w:line="408" w:lineRule="exact"/>
        <w:ind w:left="0" w:right="0" w:firstLine="576"/>
        <w:jc w:val="left"/>
      </w:pPr>
      <w:r>
        <w:rPr/>
        <w:t xml:space="preserve">(a) Project identification and scoping processes;</w:t>
      </w:r>
    </w:p>
    <w:p>
      <w:pPr>
        <w:spacing w:before="0" w:after="0" w:line="408" w:lineRule="exact"/>
        <w:ind w:left="0" w:right="0" w:firstLine="576"/>
        <w:jc w:val="left"/>
      </w:pPr>
      <w:r>
        <w:rPr/>
        <w:t xml:space="preserve">(b) Project cost estimation methods and tools; and</w:t>
      </w:r>
    </w:p>
    <w:p>
      <w:pPr>
        <w:spacing w:before="0" w:after="0" w:line="408" w:lineRule="exact"/>
        <w:ind w:left="0" w:right="0" w:firstLine="576"/>
        <w:jc w:val="left"/>
      </w:pPr>
      <w:r>
        <w:rPr/>
        <w:t xml:space="preserve">(c) Project prioritization criteria and methods.</w:t>
      </w:r>
    </w:p>
    <w:p>
      <w:pPr>
        <w:spacing w:before="0" w:after="0" w:line="408" w:lineRule="exact"/>
        <w:ind w:left="0" w:right="0" w:firstLine="576"/>
        <w:jc w:val="left"/>
      </w:pPr>
      <w:r>
        <w:rPr/>
        <w:t xml:space="preserve">(2) State parks capital budget staffing compared to other public and private industry standards, including the percent of project funding that is used for staff FTEs and the number and function of:</w:t>
      </w:r>
    </w:p>
    <w:p>
      <w:pPr>
        <w:spacing w:before="0" w:after="0" w:line="408" w:lineRule="exact"/>
        <w:ind w:left="0" w:right="0" w:firstLine="576"/>
        <w:jc w:val="left"/>
      </w:pPr>
      <w:r>
        <w:rPr/>
        <w:t xml:space="preserve">(a) Design professionals (including engineers and landscape architects);</w:t>
      </w:r>
    </w:p>
    <w:p>
      <w:pPr>
        <w:spacing w:before="0" w:after="0" w:line="408" w:lineRule="exact"/>
        <w:ind w:left="0" w:right="0" w:firstLine="576"/>
        <w:jc w:val="left"/>
      </w:pPr>
      <w:r>
        <w:rPr/>
        <w:t xml:space="preserve">(b) Construction and Design project managers; and</w:t>
      </w:r>
    </w:p>
    <w:p>
      <w:pPr>
        <w:spacing w:before="0" w:after="0" w:line="408" w:lineRule="exact"/>
        <w:ind w:left="0" w:right="0" w:firstLine="576"/>
        <w:jc w:val="left"/>
      </w:pPr>
      <w:r>
        <w:rPr/>
        <w:t xml:space="preserve">(c) Other staff supported by capital funds.</w:t>
      </w:r>
    </w:p>
    <w:p>
      <w:pPr>
        <w:spacing w:before="0" w:after="0" w:line="408" w:lineRule="exact"/>
        <w:ind w:left="0" w:right="0" w:firstLine="576"/>
        <w:jc w:val="left"/>
      </w:pPr>
      <w:r>
        <w:rPr/>
        <w:t xml:space="preserve">(3) Historical capital project funding including, at a minimum:</w:t>
      </w:r>
    </w:p>
    <w:p>
      <w:pPr>
        <w:spacing w:before="0" w:after="0" w:line="408" w:lineRule="exact"/>
        <w:ind w:left="0" w:right="0" w:firstLine="576"/>
        <w:jc w:val="left"/>
      </w:pPr>
      <w:r>
        <w:rPr/>
        <w:t xml:space="preserve">(a) 2013-2015 and 2015-2017 capital budgets and expenditures;</w:t>
      </w:r>
    </w:p>
    <w:p>
      <w:pPr>
        <w:spacing w:before="0" w:after="0" w:line="408" w:lineRule="exact"/>
        <w:ind w:left="0" w:right="0" w:firstLine="576"/>
        <w:jc w:val="left"/>
      </w:pPr>
      <w:r>
        <w:rPr/>
        <w:t xml:space="preserve">(b) An analysis of actual project costs in comparison to budgeted costs including the percentage that projects were over and under the construction cost estimate and the total project cost estimate, both individually and in aggregate; and</w:t>
      </w:r>
    </w:p>
    <w:p>
      <w:pPr>
        <w:spacing w:before="0" w:after="0" w:line="408" w:lineRule="exact"/>
        <w:ind w:left="0" w:right="0" w:firstLine="576"/>
        <w:jc w:val="left"/>
      </w:pPr>
      <w:r>
        <w:rPr/>
        <w:t xml:space="preserve">(c) Percentage of reappropriations.</w:t>
      </w:r>
    </w:p>
    <w:p>
      <w:pPr>
        <w:spacing w:before="0" w:after="0" w:line="408" w:lineRule="exact"/>
        <w:ind w:left="0" w:right="0" w:firstLine="576"/>
        <w:jc w:val="left"/>
      </w:pPr>
      <w:r>
        <w:rPr/>
        <w:t xml:space="preserve">(4) The basis for cabin and comfort station project costs to include:</w:t>
      </w:r>
    </w:p>
    <w:p>
      <w:pPr>
        <w:spacing w:before="0" w:after="0" w:line="408" w:lineRule="exact"/>
        <w:ind w:left="0" w:right="0" w:firstLine="576"/>
        <w:jc w:val="left"/>
      </w:pPr>
      <w:r>
        <w:rPr/>
        <w:t xml:space="preserve">(a) Project objectives and customer requirements;</w:t>
      </w:r>
    </w:p>
    <w:p>
      <w:pPr>
        <w:spacing w:before="0" w:after="0" w:line="408" w:lineRule="exact"/>
        <w:ind w:left="0" w:right="0" w:firstLine="576"/>
        <w:jc w:val="left"/>
      </w:pPr>
      <w:r>
        <w:rPr/>
        <w:t xml:space="preserve">(b) Project elements (scale, materials, utilities, location, aesthetics, and other considerations significantly affecting project costs); and</w:t>
      </w:r>
    </w:p>
    <w:p>
      <w:pPr>
        <w:spacing w:before="0" w:after="0" w:line="408" w:lineRule="exact"/>
        <w:ind w:left="0" w:right="0" w:firstLine="576"/>
        <w:jc w:val="left"/>
      </w:pPr>
      <w:r>
        <w:rPr/>
        <w:t xml:space="preserve">(c) Operational fiscal analysis including projected operating costs and revenue from cabins; and</w:t>
      </w:r>
    </w:p>
    <w:p>
      <w:pPr>
        <w:spacing w:before="0" w:after="0" w:line="408" w:lineRule="exact"/>
        <w:ind w:left="0" w:right="0" w:firstLine="576"/>
        <w:jc w:val="left"/>
      </w:pPr>
      <w:r>
        <w:rPr/>
        <w:t xml:space="preserve">(d) Detailed cost estimates of previous and future cabin and comfort station projects.</w:t>
      </w:r>
    </w:p>
    <w:p>
      <w:pPr>
        <w:spacing w:before="0" w:after="0" w:line="408" w:lineRule="exact"/>
        <w:ind w:left="0" w:right="0" w:firstLine="576"/>
        <w:jc w:val="left"/>
      </w:pPr>
      <w:r>
        <w:rPr/>
        <w:t xml:space="preserve">(5) Costs compared to at least two other states with similar state parks and two other Washington state or local governments.</w:t>
      </w:r>
    </w:p>
    <w:p>
      <w:pPr>
        <w:spacing w:before="0" w:after="0" w:line="408" w:lineRule="exact"/>
        <w:ind w:left="0" w:right="0" w:firstLine="576"/>
        <w:jc w:val="left"/>
      </w:pPr>
      <w:r>
        <w:rPr/>
        <w:t xml:space="preserve">(6) An analysis of development costs associated with state park projects that differ from other public works projects and commercial private sector projects.</w:t>
      </w:r>
    </w:p>
    <w:p>
      <w:pPr>
        <w:spacing w:before="0" w:after="0" w:line="408" w:lineRule="exact"/>
        <w:ind w:left="0" w:right="0" w:firstLine="576"/>
        <w:jc w:val="left"/>
      </w:pPr>
      <w:r>
        <w:rPr/>
        <w:t xml:space="preserve">(7) Alternative procurement options for cabins, including premanufactured cabins, cabin kits, tiny homes, and modular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and State Facility Financing Study (92000021)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financial management shall submit a higher education capital facility study to the governor and the appropriate legislative fiscal committees by October 1, 2018. In designing and conducting the study, the office of financial management shall consult with legislative and fiscal committee leadership, the department of revenue, the state investment board, the student achievement council, the state board for community and technical colleges, and the public four-year institutions of higher education. The study must include:</w:t>
      </w:r>
    </w:p>
    <w:p>
      <w:pPr>
        <w:spacing w:before="0" w:after="0" w:line="408" w:lineRule="exact"/>
        <w:ind w:left="0" w:right="0" w:firstLine="576"/>
        <w:jc w:val="left"/>
      </w:pPr>
      <w:r>
        <w:rPr/>
        <w:t xml:space="preserve">(a) A review of the methods that are used to fund higher education facility expansion and improvements in other states and the relative portions of such expenditures that are borne by students, state taxpayers, federal grants, and private contributions;</w:t>
      </w:r>
    </w:p>
    <w:p>
      <w:pPr>
        <w:spacing w:before="0" w:after="0" w:line="408" w:lineRule="exact"/>
        <w:ind w:left="0" w:right="0" w:firstLine="576"/>
        <w:jc w:val="left"/>
      </w:pPr>
      <w:r>
        <w:rPr/>
        <w:t xml:space="preserve">(b) An examination of alternatives for reducing facility construction and maintenance expenditures per student through strategies such as expansion of distance learning opportunities, increased scheduling of classes during evenings and weekends, the establishment of expected cost benchmarks by facility type, and other means;</w:t>
      </w:r>
    </w:p>
    <w:p>
      <w:pPr>
        <w:spacing w:before="0" w:after="0" w:line="408" w:lineRule="exact"/>
        <w:ind w:left="0" w:right="0" w:firstLine="576"/>
        <w:jc w:val="left"/>
      </w:pPr>
      <w:r>
        <w:rPr/>
        <w:t xml:space="preserve">(c) An assessment of the strengths and weaknesses of potential new revenue sources that might be applied to the funding of higher education facilities. These alternative sources must include, but not be limited to, adjusting student fees to support a larger share of the cost of such facilities, bonding against student fee revenues, utilizing local tax revenues to support local higher education capital needs, promoting business participation in the financing of programs strongly linked to area economic development, and other means;</w:t>
      </w:r>
    </w:p>
    <w:p>
      <w:pPr>
        <w:spacing w:before="0" w:after="0" w:line="408" w:lineRule="exact"/>
        <w:ind w:left="0" w:right="0" w:firstLine="576"/>
        <w:jc w:val="left"/>
      </w:pPr>
      <w:r>
        <w:rPr/>
        <w:t xml:space="preserve">(d) Learning space utilization standards for higher education facilities. The standards may include, but are not limited to:</w:t>
      </w:r>
    </w:p>
    <w:p>
      <w:pPr>
        <w:spacing w:before="0" w:after="0" w:line="408" w:lineRule="exact"/>
        <w:ind w:left="0" w:right="0" w:firstLine="576"/>
        <w:jc w:val="left"/>
      </w:pPr>
      <w:r>
        <w:rPr/>
        <w:t xml:space="preserve">(i) Percentage of hours utilized per scheduling window;</w:t>
      </w:r>
    </w:p>
    <w:p>
      <w:pPr>
        <w:spacing w:before="0" w:after="0" w:line="408" w:lineRule="exact"/>
        <w:ind w:left="0" w:right="0" w:firstLine="576"/>
        <w:jc w:val="left"/>
      </w:pPr>
      <w:r>
        <w:rPr/>
        <w:t xml:space="preserve">(ii) Percentage of seats utilized;</w:t>
      </w:r>
    </w:p>
    <w:p>
      <w:pPr>
        <w:spacing w:before="0" w:after="0" w:line="408" w:lineRule="exact"/>
        <w:ind w:left="0" w:right="0" w:firstLine="576"/>
        <w:jc w:val="left"/>
      </w:pPr>
      <w:r>
        <w:rPr/>
        <w:t xml:space="preserve">(iii) Square feet per seat; and</w:t>
      </w:r>
    </w:p>
    <w:p>
      <w:pPr>
        <w:spacing w:before="0" w:after="0" w:line="408" w:lineRule="exact"/>
        <w:ind w:left="0" w:right="0" w:firstLine="576"/>
        <w:jc w:val="left"/>
      </w:pPr>
      <w:r>
        <w:rPr/>
        <w:t xml:space="preserve">(iv) Type of technology utilized in learning spaces;</w:t>
      </w:r>
    </w:p>
    <w:p>
      <w:pPr>
        <w:spacing w:before="0" w:after="0" w:line="408" w:lineRule="exact"/>
        <w:ind w:left="0" w:right="0" w:firstLine="576"/>
        <w:jc w:val="left"/>
      </w:pPr>
      <w:r>
        <w:rPr/>
        <w:t xml:space="preserve">(e) Reasonableness of cost standards for higher education capital facilities. The standards may include, but are not limited to:</w:t>
      </w:r>
    </w:p>
    <w:p>
      <w:pPr>
        <w:spacing w:before="0" w:after="0" w:line="408" w:lineRule="exact"/>
        <w:ind w:left="0" w:right="0" w:firstLine="576"/>
        <w:jc w:val="left"/>
      </w:pPr>
      <w:r>
        <w:rPr/>
        <w:t xml:space="preserve">(i) Costs per square feet per type of facility; and</w:t>
      </w:r>
    </w:p>
    <w:p>
      <w:pPr>
        <w:spacing w:before="0" w:after="0" w:line="408" w:lineRule="exact"/>
        <w:ind w:left="0" w:right="0" w:firstLine="576"/>
        <w:jc w:val="left"/>
      </w:pPr>
      <w:r>
        <w:rPr/>
        <w:t xml:space="preserve">(ii) Expected life-cycle costs; and</w:t>
      </w:r>
    </w:p>
    <w:p>
      <w:pPr>
        <w:spacing w:before="0" w:after="0" w:line="408" w:lineRule="exact"/>
        <w:ind w:left="0" w:right="0" w:firstLine="576"/>
        <w:jc w:val="left"/>
      </w:pPr>
      <w:r>
        <w:rPr/>
        <w:t xml:space="preserve">(f) A criteria scoring and weighting tool for use by four-year higher education institutions and other decision makers that measures two components:</w:t>
      </w:r>
    </w:p>
    <w:p>
      <w:pPr>
        <w:spacing w:before="0" w:after="0" w:line="408" w:lineRule="exact"/>
        <w:ind w:left="0" w:right="0" w:firstLine="576"/>
        <w:jc w:val="left"/>
      </w:pPr>
      <w:r>
        <w:rPr/>
        <w:t xml:space="preserve">(i) A measure of achievement of higher education capital projects criteria; and</w:t>
      </w:r>
    </w:p>
    <w:p>
      <w:pPr>
        <w:spacing w:before="0" w:after="0" w:line="408" w:lineRule="exact"/>
        <w:ind w:left="0" w:right="0" w:firstLine="576"/>
        <w:jc w:val="left"/>
      </w:pPr>
      <w:r>
        <w:rPr/>
        <w:t xml:space="preserve">(ii) A measure to weigh the importance of those criteria.</w:t>
      </w:r>
    </w:p>
    <w:p>
      <w:pPr>
        <w:spacing w:before="0" w:after="0" w:line="408" w:lineRule="exact"/>
        <w:ind w:left="0" w:right="0" w:firstLine="576"/>
        <w:jc w:val="left"/>
      </w:pPr>
      <w:r>
        <w:rPr/>
        <w:t xml:space="preserve">(2) The office of financial management shall submit a state capital facility financing study to the governor and the appropriate legislative fiscal committees by December 1, 2018. In designing and conducting the study, the office of financial management shall consult with legislative and fiscal committee leadership. The study must include the establishment of expected cost benchmarks by facility type.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$19,391,000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rPr/>
        <w:t xml:space="preserve">$3,058,000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$3,364,000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rPr/>
        <w:t xml:space="preserve">$12,900,000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analyze the current heat and power configuration and compare it to a minimum of two new configurations on the capitol campus. A life-cycle cost analysis shall identify the preferred option over thirty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$2,414,000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report must evaluate, at a minimum, the following criteria: (1) A minimum of two locations on the capitol campus or Heritage Park; (2) a survey of employees on the capitol campus to determine the need and capacity; (3) the necessary rate to support operations, maintenance, and debt service; (4) the existing child care capacity within a five mile radius of the capitol campus; and (5) a description of a public private partnership and the competitive process used to select the contractor to operate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$3,556,000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Major Renovation (30000818)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$2,375,000</w:t>
      </w:r>
    </w:p>
    <w:p>
      <w:pPr>
        <w:tabs>
          <w:tab w:val="right" w:leader="dot" w:pos="9936"/>
        </w:tabs>
        <w:ind w:left="0" w:right="0" w:firstLine="1440"/>
      </w:pPr>
      <w:r>
        <w:rPr/>
        <w:t xml:space="preserve">Subtotal Appropriation</w:t>
      </w:r>
      <w:r>
        <w:tab/>
      </w:r>
      <w:r>
        <w:rPr/>
        <w:t xml:space="preserve">$4,750,000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$11,537,000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ind w:left="0" w:right="0" w:firstLine="576"/>
        <w:jc w:val="left"/>
        <w:tabs>
          <w:tab w:val="right" w:leader="dot" w:pos="9936"/>
        </w:tabs>
      </w:pPr>
      <w:r>
        <w:rPr/>
        <w:t xml:space="preserve">Prior Biennia (Expenditures)</w:t>
      </w:r>
      <w:r>
        <w:tab/>
      </w:r>
      <w:r>
        <w:rPr/>
        <w:t xml:space="preserve">$3,280,000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2001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 The department shall redesign the kitchen and commissary building to account for a reduced client population at western state hospital.</w:t>
      </w:r>
    </w:p>
    <w:p>
      <w:pPr>
        <w:spacing w:before="0" w:after="0" w:line="408" w:lineRule="exact"/>
        <w:ind w:left="0" w:right="0" w:firstLine="576"/>
        <w:jc w:val="left"/>
      </w:pPr>
      <w:r>
        <w:rPr>
          <w:strike/>
        </w:rPr>
        <w:t xml:space="preserve">(2)</w:t>
      </w:r>
      <w:r>
        <w:t>))</w:t>
      </w:r>
      <w:r>
        <w:rPr/>
        <w:t xml:space="preserve"> This facility shall house a kitchen, commissary, medical supply, and pharmacy operations to improve operational efficiency at western state hospital and at the special commitment center.</w:t>
      </w:r>
    </w:p>
    <w:p>
      <w:pPr>
        <w:spacing w:before="0" w:after="0" w:line="408" w:lineRule="exact"/>
        <w:ind w:left="0" w:right="0" w:firstLine="576"/>
        <w:jc w:val="left"/>
      </w:pPr>
      <w:r>
        <w:t>((</w:t>
      </w:r>
      <w:r>
        <w:rPr>
          <w:strike/>
        </w:rPr>
        <w:t xml:space="preserve">(3) The department shall submit an updated project proposal by October 15, 2017 and return any excess funds.</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t xml:space="preserve">$183,510,000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Community Facilities: New Capacity (30003577)</w:t>
      </w:r>
    </w:p>
    <w:p>
      <w:pPr>
        <w:spacing w:before="120" w:after="0" w:line="408" w:lineRule="exact"/>
        <w:ind w:left="0" w:right="0" w:firstLine="576"/>
        <w:jc w:val="left"/>
      </w:pPr>
      <w:r>
        <w:rPr/>
        <w:t xml:space="preserve">The appropriation in this section is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$12,760,000</w:t>
      </w:r>
    </w:p>
    <w:p>
      <w:pPr>
        <w:tabs>
          <w:tab w:val="right" w:leader="dot" w:pos="9936"/>
        </w:tabs>
        <w:ind w:left="0" w:right="0" w:firstLine="1440"/>
      </w:pPr>
      <w:r>
        <w:rPr/>
        <w:t xml:space="preserve">TOTAL</w:t>
      </w:r>
      <w:r>
        <w:tab/>
      </w:r>
      <w:r>
        <w:rPr/>
        <w:t xml:space="preserve">$13,260,000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Water System Replacement (30003213)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drinking water funds. $10,000,000 of the appropriation must be transferred into the drinking water assistance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 The office of financial management must approve the predesign before design funds are alloted.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$15,833,000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$55,712,000</w:t>
      </w:r>
    </w:p>
    <w:p>
      <w:pPr>
        <w:tabs>
          <w:tab w:val="right" w:leader="dot" w:pos="9936"/>
        </w:tabs>
        <w:ind w:left="0" w:right="0" w:firstLine="1440"/>
      </w:pPr>
      <w:r>
        <w:rPr/>
        <w:t xml:space="preserve">TOTAL</w:t>
      </w:r>
      <w:r>
        <w:tab/>
      </w:r>
      <w:r>
        <w:rPr/>
        <w:t xml:space="preserve">$66,621,000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appropriations in this section are subject to the following conditions and limitations: The department must establish a mental health program for women offenders. The program must at a minimum provide programs and treatment for female offenders diagnosed with a mental illness.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$2,551,000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$1,790,000</w:t>
      </w:r>
    </w:p>
    <w:p>
      <w:pPr>
        <w:tabs>
          <w:tab w:val="right" w:leader="dot" w:pos="9936"/>
        </w:tabs>
        <w:ind w:left="0" w:right="0" w:firstLine="1440"/>
      </w:pPr>
      <w:r>
        <w:rPr/>
        <w:t xml:space="preserve">Subtotal Appropriation</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 3rd sp.s. c 4 ss 3043 and 3059</w:t>
      </w:r>
      <w:r>
        <w:rPr/>
        <w:t xml:space="preserve"> (uncodified) are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$25,476,000</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 in this section is subject to the following conditions and limitations: The terms of any land acquisition contract executed pursuant to this section must include requirements, such as covenants or easements, that the land be managed in a manner that provides for long-term sustainable timber growth and harvest on the property. Use of the property must prioritize forest practices that provide for sufficient feedstock timber to any sawmills adjacent to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$11,800,000</w:t>
      </w:r>
    </w:p>
    <w:p>
      <w:pPr>
        <w:tabs>
          <w:tab w:val="right" w:leader="dot" w:pos="9936"/>
        </w:tabs>
        <w:ind w:left="0" w:right="0" w:firstLine="1440"/>
      </w:pPr>
      <w:r>
        <w:rPr/>
        <w:t xml:space="preserve">TOTAL</w:t>
      </w:r>
      <w:r>
        <w:tab/>
      </w:r>
      <w:r>
        <w:rPr/>
        <w:t xml:space="preserve">$15,800,000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$76,000,000</w:t>
      </w:r>
    </w:p>
    <w:p>
      <w:pPr>
        <w:tabs>
          <w:tab w:val="right" w:leader="dot" w:pos="9936"/>
        </w:tabs>
        <w:ind w:left="0" w:right="0" w:firstLine="1440"/>
      </w:pPr>
      <w:r>
        <w:rPr/>
        <w:t xml:space="preserve">TOTAL</w:t>
      </w:r>
      <w:r>
        <w:tab/>
      </w:r>
      <w:r>
        <w:rPr/>
        <w:t xml:space="preserve">$107,100,000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irrigation district.</w:t>
      </w:r>
    </w:p>
    <w:p>
      <w:pPr>
        <w:spacing w:before="0" w:after="0" w:line="408" w:lineRule="exact"/>
        <w:ind w:left="0" w:right="0" w:firstLine="576"/>
        <w:jc w:val="left"/>
      </w:pPr>
      <w:r>
        <w:rPr/>
        <w:t xml:space="preserve">(2) $5,000,000 of the appropriations are provided solely for a forty-seven and one-half mile pipeline for full capacity. Funds must be prioritized to constructing the distribution system to a capacity serving no less than eleven thousand acres.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clean water funds. $10,000,000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(i) The department of transportation's electric vehicle infrastructure bank program;</w:t>
      </w:r>
    </w:p>
    <w:p>
      <w:pPr>
        <w:spacing w:before="0" w:after="0" w:line="408" w:lineRule="exact"/>
        <w:ind w:left="0" w:right="0" w:firstLine="576"/>
        <w:jc w:val="left"/>
      </w:pPr>
      <w:r>
        <w:rPr/>
        <w:t xml:space="preserve">(ii) The state alternative fuel commercial vehicle tax credit;</w:t>
      </w:r>
    </w:p>
    <w:p>
      <w:pPr>
        <w:spacing w:before="0" w:after="0" w:line="408" w:lineRule="exact"/>
        <w:ind w:left="0" w:right="0" w:firstLine="576"/>
        <w:jc w:val="left"/>
      </w:pPr>
      <w:r>
        <w:rPr/>
        <w:t xml:space="preserve">(iii) The state sales and use tax exemption for clean vehicles; and</w:t>
      </w:r>
    </w:p>
    <w:p>
      <w:pPr>
        <w:spacing w:before="0" w:after="0" w:line="408" w:lineRule="exact"/>
        <w:ind w:left="0" w:right="0" w:firstLine="576"/>
        <w:jc w:val="left"/>
      </w:pPr>
      <w:r>
        <w:rPr/>
        <w:t xml:space="preserve">(iv) Public transportation grant programs administered by the department of transportation.</w:t>
      </w:r>
    </w:p>
    <w:p>
      <w:pPr>
        <w:spacing w:before="0" w:after="0" w:line="408" w:lineRule="exact"/>
        <w:ind w:left="0" w:right="0" w:firstLine="576"/>
        <w:jc w:val="left"/>
      </w:pPr>
      <w:r>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The mitigation plan and the stewardship of project implementation must adhere to the following principles:</w:t>
      </w:r>
    </w:p>
    <w:p>
      <w:pPr>
        <w:spacing w:before="0" w:after="0" w:line="408" w:lineRule="exact"/>
        <w:ind w:left="0" w:right="0" w:firstLine="576"/>
        <w:jc w:val="left"/>
      </w:pPr>
      <w:r>
        <w:rPr/>
        <w:t xml:space="preserve">(a) Maximize air quality and public health benefits relating to the reduction of nitrogen oxides emissions;</w:t>
      </w:r>
    </w:p>
    <w:p>
      <w:pPr>
        <w:spacing w:before="0" w:after="0" w:line="408" w:lineRule="exact"/>
        <w:ind w:left="0" w:right="0" w:firstLine="576"/>
        <w:jc w:val="left"/>
      </w:pPr>
      <w:r>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t xml:space="preserve">(e) Consideration must be given to investments across a range of fueling technologies and emissions reduction technologies; and</w:t>
      </w:r>
    </w:p>
    <w:p>
      <w:pPr>
        <w:spacing w:before="0" w:after="0" w:line="408" w:lineRule="exact"/>
        <w:ind w:left="0" w:right="0" w:firstLine="576"/>
        <w:jc w:val="left"/>
      </w:pPr>
      <w:r>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(4)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t xml:space="preserve">(iv) No more than twenty percent of funding provided during the 2017-2019 biennium for airport ground support equipment;</w:t>
      </w:r>
    </w:p>
    <w:p>
      <w:pPr>
        <w:spacing w:before="0" w:after="0" w:line="408" w:lineRule="exact"/>
        <w:ind w:left="0" w:right="0" w:firstLine="576"/>
        <w:jc w:val="left"/>
      </w:pPr>
      <w:r>
        <w:rPr/>
        <w:t xml:space="preserve">(v) No more than twenty percent of funding provided during the 2017-2019 biennium for ocean-going vessels' shore power;</w:t>
      </w:r>
    </w:p>
    <w:p>
      <w:pPr>
        <w:spacing w:before="0" w:after="0" w:line="408" w:lineRule="exact"/>
        <w:ind w:left="0" w:right="0" w:firstLine="576"/>
        <w:jc w:val="left"/>
      </w:pPr>
      <w:r>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an integrated planning grant to the port of Port Townsend to perform an environmental site assessment and development plan to guide redevelopment of the marina and shipyard.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appropriation in this section is subject to the following conditions and limitations: The appropriation is provided solely for watershed restoration and enhancement projects. If chapter . . . (Substitute Senate Bill No. 6091 (water availability)), Laws of 2018 is not enacted by June 30, 2018,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$11,528,000</w:t>
      </w:r>
    </w:p>
    <w:p>
      <w:pPr>
        <w:tabs>
          <w:tab w:val="right" w:leader="dot" w:pos="9936"/>
        </w:tabs>
        <w:ind w:left="0" w:right="0" w:firstLine="1440"/>
      </w:pPr>
      <w:r>
        <w:rPr/>
        <w:t xml:space="preserve">Subtotal Reappropriation</w:t>
      </w:r>
      <w:r>
        <w:tab/>
      </w:r>
      <w:r>
        <w:rPr/>
        <w:t xml:space="preserve">$30,053,000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$5,538,000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$2,204,000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$9,769,000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$5,073,000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$1,526,000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The commission must grant access to the Iron Horse/John Wayne trail for any person who owns land adjacent to the trail and applies for access or easement for agricultural purposes. The commission may request twenty-four hour notice prior to any agricultural use for transporting goods or machinery along the length of the trail. No prior notice may be required of adjacent landowners to cross the trail. Access may not be unreasonably denied and must be granted within one month of application or within thirty days of the effective date of this section for applications previously submitted from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State Park Environmental Learning Center (92000013)</w:t>
      </w:r>
    </w:p>
    <w:p>
      <w:pPr>
        <w:spacing w:before="120" w:after="0" w:line="408" w:lineRule="exact"/>
        <w:ind w:left="0" w:right="0" w:firstLine="576"/>
        <w:jc w:val="left"/>
      </w:pPr>
      <w:r>
        <w:rPr/>
        <w:t xml:space="preserve">The appropriation in this section is subject to the following conditions and limitations: $75,000 of the appropriation in this section is provided solely for a strategic plan to develop an environmental learning center at Saint Edward state park.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0" w:after="0" w:line="408" w:lineRule="exact"/>
        <w:ind w:left="0" w:right="0" w:firstLine="576"/>
        <w:jc w:val="left"/>
      </w:pPr>
      <w:r>
        <w:rPr/>
        <w:t xml:space="preserve">(2) $2,400,000 of the state building construction account</w:t>
      </w:r>
      <w:r>
        <w:rPr>
          <w:rFonts w:ascii="Times New Roman" w:hAnsi="Times New Roman"/>
        </w:rPr>
        <w:t xml:space="preserve">—</w:t>
      </w:r>
      <w:r>
        <w:rPr/>
        <w:t xml:space="preserve">state appropriation is provided solely for predesign planning grants for lead entities, and this is the maximum amount the department may expend for this purpose.</w:t>
      </w:r>
    </w:p>
    <w:p>
      <w:pPr>
        <w:spacing w:before="0" w:after="0" w:line="408" w:lineRule="exact"/>
        <w:ind w:left="0" w:right="0" w:firstLine="576"/>
        <w:jc w:val="left"/>
      </w:pPr>
      <w:r>
        <w:rPr/>
        <w:t xml:space="preserve">(3) $641,000 of the state building construction account</w:t>
      </w:r>
      <w:r>
        <w:rPr>
          <w:rFonts w:ascii="Times New Roman" w:hAnsi="Times New Roman"/>
        </w:rPr>
        <w:t xml:space="preserve">—</w:t>
      </w:r>
      <w:r>
        <w:rPr/>
        <w:t xml:space="preserve">state appropriation is provided solely for predesign planning grants for regional fisheries enhancement groups,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$19,711,000</w:t>
      </w:r>
    </w:p>
    <w:p>
      <w:pPr>
        <w:tabs>
          <w:tab w:val="right" w:leader="dot" w:pos="9936"/>
        </w:tabs>
        <w:ind w:left="0" w:right="0" w:firstLine="1440"/>
      </w:pPr>
      <w:r>
        <w:rPr/>
        <w:t xml:space="preserve">Subtotal Appropriation</w:t>
      </w:r>
      <w:r>
        <w:tab/>
      </w:r>
      <w:r>
        <w:rPr/>
        <w:t xml:space="preserve">$69,711,000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$389,711,000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number 2017-42, developed July 20, 2017, and LEAP capital document 2018-6H, developed January 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$36,000,000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appropriations in this section are subject to the following conditions and limitations: $220,000 of the recreation resources account</w:t>
      </w:r>
      <w:r>
        <w:rPr>
          <w:rFonts w:ascii="Times New Roman" w:hAnsi="Times New Roman"/>
        </w:rPr>
        <w:t xml:space="preserve">—</w:t>
      </w:r>
      <w:r>
        <w:rPr/>
        <w:t xml:space="preserve">state appropriation is provided solely for the Port of Garfield for the central ferry boat launch.</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Barnum Point waterfront.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2017-4H,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and to further develop the inventory to respond to the recommendations of the joint legislative audit and review committee for a single source of information about land acquisitions.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2017-5H,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3120</w:t>
      </w:r>
      <w:r>
        <w:rPr/>
        <w:t xml:space="preserve"> (uncodified) is amended to read as follows:</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w:t>
      </w:r>
      <w:r>
        <w:t>((</w:t>
      </w:r>
      <w:r>
        <w:rPr>
          <w:strike/>
        </w:rPr>
        <w:t xml:space="preserve">The appropriation in this section is provided solely to purchase replacement properties for Blanchard mountain trust lands core-zone.</w:t>
      </w:r>
      <w:r>
        <w:t>))</w:t>
      </w:r>
    </w:p>
    <w:p>
      <w:pPr>
        <w:spacing w:before="0" w:after="0" w:line="408" w:lineRule="exact"/>
        <w:ind w:left="0" w:right="0" w:firstLine="576"/>
        <w:jc w:val="left"/>
      </w:pPr>
      <w:r>
        <w:rPr>
          <w:u w:val="single"/>
        </w:rPr>
        <w:t xml:space="preserve">(1) The reappropriations are subject to the provisions of section 3026, chapter 35, Laws of 2016 sp. sess.</w:t>
      </w:r>
    </w:p>
    <w:p>
      <w:pPr>
        <w:spacing w:before="0" w:after="0" w:line="408" w:lineRule="exact"/>
        <w:ind w:left="0" w:right="0" w:firstLine="576"/>
        <w:jc w:val="left"/>
      </w:pPr>
      <w:r>
        <w:rPr>
          <w:u w:val="single"/>
        </w:rPr>
        <w:t xml:space="preserve">(2) A maximum of $1,100,000 of unused funds in this reappropriation may be used for the willows road regional trail connect, without requiring matching resources.</w:t>
      </w:r>
    </w:p>
    <w:p>
      <w:pPr>
        <w:spacing w:before="0" w:after="0" w:line="408" w:lineRule="exact"/>
        <w:ind w:left="0" w:right="0" w:firstLine="576"/>
        <w:jc w:val="left"/>
      </w:pPr>
      <w:r>
        <w:rPr>
          <w:u w:val="single"/>
        </w:rPr>
        <w:t xml:space="preserve">(3) A maximum of $500,000 of unused funds in this reappropriation may be used for the Wilburton trestle section of the eastside rail corridor, without requiring matching resources.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$18,328,000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Distillation Grants (92000010)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commission to make competitive grants available for dairy nutrient projects assisting dairy owners to address impacts to soil, water, or air. The purpose of the funding is to test the technologies that can solve the potential environmental problems associated with the disposal of manure that is in excess of what can be effectively used in the growing of crops. The technology must:</w:t>
      </w:r>
    </w:p>
    <w:p>
      <w:pPr>
        <w:spacing w:before="0" w:after="0" w:line="408" w:lineRule="exact"/>
        <w:ind w:left="0" w:right="0" w:firstLine="576"/>
        <w:jc w:val="left"/>
      </w:pPr>
      <w:r>
        <w:rPr/>
        <w:t xml:space="preserve">(a) Pose no risk of pollution to soil, water, or air;</w:t>
      </w:r>
    </w:p>
    <w:p>
      <w:pPr>
        <w:spacing w:before="0" w:after="0" w:line="408" w:lineRule="exact"/>
        <w:ind w:left="0" w:right="0" w:firstLine="576"/>
        <w:jc w:val="left"/>
      </w:pPr>
      <w:r>
        <w:rPr/>
        <w:t xml:space="preserve">(b) Be cost effective; and</w:t>
      </w:r>
    </w:p>
    <w:p>
      <w:pPr>
        <w:spacing w:before="0" w:after="0" w:line="408" w:lineRule="exact"/>
        <w:ind w:left="0" w:right="0" w:firstLine="576"/>
        <w:jc w:val="left"/>
      </w:pPr>
      <w:r>
        <w:rPr/>
        <w:t xml:space="preserve">(c) Produce clean water that can be effectively used on dairy farms and/or solids which can either be marketed or disposed of without risk of the environment.</w:t>
      </w:r>
    </w:p>
    <w:p>
      <w:pPr>
        <w:spacing w:before="0" w:after="0" w:line="408" w:lineRule="exact"/>
        <w:ind w:left="0" w:right="0" w:firstLine="576"/>
        <w:jc w:val="left"/>
      </w:pPr>
      <w:r>
        <w:rPr/>
        <w:t xml:space="preserve">(2) The grants must fund at least one dairy nutrient management innovation project east of the crest of the Cascade mountains and one west of the crest of the Cascade mountains. The commission shall report about the challenges and opportunities of the granted projects to the appropriate committees of the legislature at the conclusion of the last project or at least by December 1, 2020. The report should cover the acquisition, maintenance, and operating costs for the technology; how costs can be mitigated by any marketable byproducts, such as nitrogen, phosphorous, electricity, etc.; the cost of processing remaining materials to avoid contamination of soil, water, or air; and the ability to adapt the equipment for various size of dairies.</w:t>
      </w:r>
    </w:p>
    <w:p>
      <w:pPr>
        <w:spacing w:before="0" w:after="0" w:line="408" w:lineRule="exact"/>
        <w:ind w:left="0" w:right="0" w:firstLine="576"/>
        <w:jc w:val="left"/>
      </w:pPr>
      <w:r>
        <w:rPr/>
        <w:t xml:space="preserve">(3) When providing funding for specific technologies, the commission shall enter into appropriate agreements to support the state's interest in advancing innovation solutions to environmental issues while ensuring compliance with Article VIII, section 5 and Article XII, section 9 of the state Constitution.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t xml:space="preserve">$3,752,000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2017 3rd sp.s. c 4 s 3134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$7,410,000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$4,547,000</w:t>
      </w:r>
    </w:p>
    <w:p>
      <w:pPr>
        <w:tabs>
          <w:tab w:val="right" w:leader="dot" w:pos="9936"/>
        </w:tabs>
        <w:ind w:left="0" w:right="0" w:firstLine="1440"/>
      </w:pPr>
      <w:r>
        <w:rPr/>
        <w:t xml:space="preserve">TOTAL</w:t>
      </w:r>
      <w:r>
        <w:tab/>
      </w:r>
      <w:r>
        <w:rPr/>
        <w:t xml:space="preserve">$4,897,000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$16,084,000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$2,921,000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$430,176,000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2017-19 (92000048)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September 30, 2018,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2018,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2018.</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$10,300,000 is provided solely to: Reduce hazards to public safety; establish new firewise communities; implement forest health treatments, prioritized pursuant to chapter 76.06 RCW as amended in chapter 95, Laws of 2017 and chapter 248, Laws of 2017, on state lands and state forestlands, high-risk private lands, and federal lands, including implementation of the "good neighbor" agreement signed with the United States forest service and "good neighbor" cross boundary competitive grants to forest collaboratives; and implement at least one controlled burning treatment project.</w:t>
      </w:r>
    </w:p>
    <w:p>
      <w:pPr>
        <w:spacing w:before="0" w:after="0" w:line="408" w:lineRule="exact"/>
        <w:ind w:left="0" w:right="0" w:firstLine="576"/>
        <w:jc w:val="left"/>
      </w:pPr>
      <w:r>
        <w:rPr/>
        <w:t xml:space="preserve">(2) $1,000,000 is provided solely to administer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to include veterans, to provide forest health treatments that may include providing thinning, pruning, and brush disposal, and other firewise services; and</w:t>
      </w:r>
    </w:p>
    <w:p>
      <w:pPr>
        <w:spacing w:before="0" w:after="0" w:line="408" w:lineRule="exact"/>
        <w:ind w:left="0" w:right="0" w:firstLine="576"/>
        <w:jc w:val="left"/>
      </w:pPr>
      <w:r>
        <w:rPr/>
        <w:t xml:space="preserve">(b) The department must work in conjunction with communities, counties, fire districts, and conservation districts in implementing firewise activities.</w:t>
      </w:r>
    </w:p>
    <w:p>
      <w:pPr>
        <w:spacing w:before="0" w:after="0" w:line="408" w:lineRule="exact"/>
        <w:ind w:left="0" w:right="0" w:firstLine="576"/>
        <w:jc w:val="left"/>
      </w:pPr>
      <w:r>
        <w:rPr/>
        <w:t xml:space="preserve">(3) $250,000 is provided solely for the forest collaborative infrastructure pilot, which will provide contract services, such as technical analysis, facilitation, and logistical support.</w:t>
      </w:r>
    </w:p>
    <w:p>
      <w:pPr>
        <w:spacing w:before="0" w:after="0" w:line="408" w:lineRule="exact"/>
        <w:ind w:left="0" w:right="0" w:firstLine="576"/>
        <w:jc w:val="left"/>
      </w:pPr>
      <w:r>
        <w:rPr/>
        <w:t xml:space="preserve">(4) $1,000,000 is provided solely for state trust land reforestation in wildfire-damaged areas.</w:t>
      </w:r>
    </w:p>
    <w:p>
      <w:pPr>
        <w:spacing w:before="0" w:after="0" w:line="408" w:lineRule="exact"/>
        <w:ind w:left="0" w:right="0" w:firstLine="576"/>
        <w:jc w:val="left"/>
      </w:pPr>
      <w:r>
        <w:rPr/>
        <w:t xml:space="preserve">(5) $450,000 is provided solely for implementation of chapter 248, Laws of 2017 (prioritizing lands to receive forest health treatments).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Statewide Stormwater &amp; Impervious Surface Study (91000088)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Washington State University-Puyallup research and extension center, to conduct a statewide stormwater and impervious surface study of its facilities. The department shall report its findings and recommendations, including a statewide strategy to mitigate impacts of stormwater and impervious surfaces of its facilities in the most cost-effective manner,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The statewide seismic needs assessment specified in this section shall be submitted to the office of financial management and the appropriate committees of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 </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w:t>
      </w:r>
      <w:r>
        <w:rPr>
          <w:rFonts w:ascii="Times New Roman" w:hAnsi="Times New Roman"/>
        </w:rPr>
        <w:t xml:space="preserve">—</w:t>
      </w:r>
      <w:r>
        <w:rPr/>
        <w:t xml:space="preserve">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appropriation in this section is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office of the superintendent of public instruction to cover the cost of the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$2,800,000 of the appropriation is provided solely for the Federal Way school district to merge STEM facilities.</w:t>
      </w:r>
    </w:p>
    <w:p>
      <w:pPr>
        <w:spacing w:before="0" w:after="0" w:line="408" w:lineRule="exact"/>
        <w:ind w:left="0" w:right="0" w:firstLine="576"/>
        <w:jc w:val="left"/>
      </w:pPr>
      <w:r>
        <w:rPr/>
        <w:t xml:space="preserve">(2) $200,000 of the appropriation is provided solely for the contract with the statewide STEM organization described in subsection (5) of this section.</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(4)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(5)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(6)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(7)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(8)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(9)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$672,423,000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$255,581,000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rPr/>
        <w:t xml:space="preserve">$932,563,000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t xml:space="preserve">$6,069,419,000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t xml:space="preserve">$16,697,000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w:t>
      </w:r>
    </w:p>
    <w:p>
      <w:pPr>
        <w:spacing w:before="0" w:after="0" w:line="408" w:lineRule="exact"/>
        <w:ind w:left="0" w:right="0" w:firstLine="576"/>
        <w:jc w:val="left"/>
      </w:pPr>
      <w:r>
        <w:rPr/>
        <w:t xml:space="preserve">(b) 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t xml:space="preserve">(c)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grants to assist small, rural school districts with total enrollments of one thousand students or less, with school facilities with significant building systems deficiencies, and with such low property values that replacing or modernizing the school facility through the school construction assistance program would present an extraordinary tax burden on property owners or would exceed allowable debt for the district.</w:t>
      </w:r>
    </w:p>
    <w:p>
      <w:pPr>
        <w:spacing w:before="0" w:after="0" w:line="408" w:lineRule="exact"/>
        <w:ind w:left="0" w:right="0" w:firstLine="576"/>
        <w:jc w:val="left"/>
      </w:pPr>
      <w:r>
        <w:rPr/>
        <w:t xml:space="preserve">(2) $11,198,000 of the appropriation is provided solely for projects in small rural districts where the school facility does not need to be replaced or require an extensive modernization, but does have significant building system deficiencies. Grants may not exceed $5,000,000. The office of the superintendent of public instruction shall prepare an expedited grant application process in selecting the grant recipients funded by this subsection.</w:t>
      </w:r>
    </w:p>
    <w:p>
      <w:pPr>
        <w:spacing w:before="0" w:after="0" w:line="408" w:lineRule="exact"/>
        <w:ind w:left="0" w:right="0" w:firstLine="576"/>
        <w:jc w:val="left"/>
      </w:pPr>
      <w:r>
        <w:rPr/>
        <w:t xml:space="preserve">(3) $23,802,000 of the appropriation is provided solely for the following projects:</w:t>
      </w:r>
    </w:p>
    <w:p>
      <w:pPr>
        <w:spacing w:before="0" w:after="0" w:line="408" w:lineRule="exact"/>
        <w:ind w:left="0" w:right="0" w:firstLine="576"/>
        <w:jc w:val="left"/>
        <w:tabs>
          <w:tab w:val="right" w:leader="dot" w:pos="9936"/>
        </w:tabs>
      </w:pPr>
      <w:r>
        <w:rPr/>
        <w:t xml:space="preserve">Mount Adams School District</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$29,500,000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$334,583,000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$22,295,000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$49,400,000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$33,915,000</w:t>
      </w:r>
    </w:p>
    <w:p>
      <w:pPr>
        <w:tabs>
          <w:tab w:val="right" w:leader="dot" w:pos="9936"/>
        </w:tabs>
        <w:ind w:left="0" w:right="0" w:firstLine="1440"/>
      </w:pPr>
      <w:r>
        <w:rPr/>
        <w:t xml:space="preserve">TOTAL</w:t>
      </w:r>
      <w:r>
        <w:tab/>
      </w:r>
      <w:r>
        <w:rPr/>
        <w:t xml:space="preserve">$41,415,000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$4,633,000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w:t>
      </w:r>
    </w:p>
    <w:p>
      <w:pPr>
        <w:tabs>
          <w:tab w:val="right" w:leader="dot" w:pos="9936"/>
        </w:tabs>
        <w:ind w:left="0" w:right="0" w:firstLine="1440"/>
      </w:pPr>
      <w:r>
        <w:rPr/>
        <w:t xml:space="preserve">TOTAL</w:t>
      </w:r>
      <w:r>
        <w:tab/>
      </w:r>
      <w:r>
        <w:rPr/>
        <w:t xml:space="preserve">$5,600,000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$85,568,000</w:t>
      </w:r>
    </w:p>
    <w:p>
      <w:pPr>
        <w:tabs>
          <w:tab w:val="right" w:leader="dot" w:pos="9936"/>
        </w:tabs>
        <w:ind w:left="0" w:right="0" w:firstLine="1440"/>
      </w:pPr>
      <w:r>
        <w:rPr/>
        <w:t xml:space="preserve">TOTAL</w:t>
      </w:r>
      <w:r>
        <w:tab/>
      </w:r>
      <w:r>
        <w:rPr/>
        <w:t xml:space="preserve">$91,568,000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Adventuress Centennial Restoration Project</w:t>
      </w:r>
      <w:r>
        <w:tab/>
      </w:r>
      <w:r>
        <w:rPr/>
        <w:t xml:space="preserve">$394,000</w:t>
      </w:r>
    </w:p>
    <w:p>
      <w:pPr>
        <w:spacing w:before="0" w:after="0" w:line="408" w:lineRule="exact"/>
        <w:ind w:left="0" w:right="0" w:firstLine="0"/>
        <w:jc w:val="left"/>
        <w:tabs>
          <w:tab w:val="right" w:leader="dot" w:pos="9936"/>
        </w:tabs>
      </w:pPr>
      <w:r>
        <w:rPr/>
        <w:t xml:space="preserve">The Paramount Theatre Upgrades</w:t>
      </w:r>
      <w:r>
        <w:tab/>
      </w:r>
      <w:r>
        <w:rPr/>
        <w:t xml:space="preserve">$573,000</w:t>
      </w:r>
    </w:p>
    <w:p>
      <w:pPr>
        <w:spacing w:before="0" w:after="0" w:line="408" w:lineRule="exact"/>
        <w:ind w:left="0" w:right="0" w:firstLine="0"/>
        <w:jc w:val="left"/>
        <w:tabs>
          <w:tab w:val="right" w:leader="dot" w:pos="9936"/>
        </w:tabs>
      </w:pPr>
      <w:r>
        <w:rPr/>
        <w:t xml:space="preserve">Stimson-Green Mansion Rehabilitation</w:t>
      </w:r>
      <w:r>
        <w:tab/>
      </w:r>
      <w:r>
        <w:rPr/>
        <w:t xml:space="preserve">$193,000</w:t>
      </w:r>
    </w:p>
    <w:p>
      <w:pPr>
        <w:spacing w:before="0" w:after="0" w:line="408" w:lineRule="exact"/>
        <w:ind w:left="0" w:right="0" w:firstLine="0"/>
        <w:jc w:val="left"/>
        <w:tabs>
          <w:tab w:val="right" w:leader="dot" w:pos="9936"/>
        </w:tabs>
      </w:pPr>
      <w:r>
        <w:rPr/>
        <w:t xml:space="preserve">German American Bank Building Restoration</w:t>
      </w:r>
      <w:r>
        <w:tab/>
      </w:r>
      <w:r>
        <w:rPr/>
        <w:t xml:space="preserve">$45,000</w:t>
      </w:r>
    </w:p>
    <w:p>
      <w:pPr>
        <w:spacing w:before="0" w:after="0" w:line="408" w:lineRule="exact"/>
        <w:ind w:left="0" w:right="0" w:firstLine="0"/>
        <w:jc w:val="left"/>
        <w:tabs>
          <w:tab w:val="right" w:leader="dot" w:pos="9936"/>
        </w:tabs>
      </w:pPr>
      <w:r>
        <w:rPr/>
        <w:t xml:space="preserve">Capitol Theater Roof Replacement and Awning Restoration</w:t>
      </w:r>
      <w:r>
        <w:tab/>
      </w:r>
      <w:r>
        <w:rPr/>
        <w:t xml:space="preserve">$118,000</w:t>
      </w:r>
    </w:p>
    <w:p>
      <w:pPr>
        <w:spacing w:before="0" w:after="0" w:line="408" w:lineRule="exact"/>
        <w:ind w:left="0" w:right="0" w:firstLine="0"/>
        <w:jc w:val="left"/>
        <w:tabs>
          <w:tab w:val="right" w:leader="dot" w:pos="9936"/>
        </w:tabs>
      </w:pPr>
      <w:r>
        <w:rPr/>
        <w:t xml:space="preserve">Fort Ward Community Hall (Heritage Bakery Building)</w:t>
      </w:r>
      <w:r>
        <w:tab/>
      </w:r>
      <w:r>
        <w:rPr/>
        <w:t xml:space="preserve">$92,000</w:t>
      </w:r>
    </w:p>
    <w:p>
      <w:pPr>
        <w:spacing w:before="0" w:after="0" w:line="408" w:lineRule="exact"/>
        <w:ind w:left="0" w:right="0" w:firstLine="0"/>
        <w:jc w:val="left"/>
        <w:tabs>
          <w:tab w:val="right" w:leader="dot" w:pos="9936"/>
        </w:tabs>
      </w:pPr>
      <w:r>
        <w:rPr/>
        <w:t xml:space="preserve">Lighthouse No. 83 (Swiftsure) Rehabilitation</w:t>
      </w:r>
      <w:r>
        <w:tab/>
      </w:r>
      <w:r>
        <w:rPr/>
        <w:t xml:space="preserve">$299,000</w:t>
      </w:r>
    </w:p>
    <w:p>
      <w:pPr>
        <w:spacing w:before="0" w:after="0" w:line="408" w:lineRule="exact"/>
        <w:ind w:left="0" w:right="0" w:firstLine="0"/>
        <w:jc w:val="left"/>
        <w:tabs>
          <w:tab w:val="right" w:leader="dot" w:pos="9936"/>
        </w:tabs>
      </w:pPr>
      <w:r>
        <w:rPr/>
        <w:t xml:space="preserve">Gladish Community and Cultural Center Restoration</w:t>
      </w:r>
      <w:r>
        <w:tab/>
      </w:r>
      <w:r>
        <w:rPr/>
        <w:t xml:space="preserve">$131,000</w:t>
      </w:r>
    </w:p>
    <w:p>
      <w:pPr>
        <w:spacing w:before="0" w:after="0" w:line="408" w:lineRule="exact"/>
        <w:ind w:left="0" w:right="0" w:firstLine="0"/>
        <w:jc w:val="left"/>
        <w:tabs>
          <w:tab w:val="right" w:leader="dot" w:pos="9936"/>
        </w:tabs>
      </w:pPr>
      <w:r>
        <w:rPr/>
        <w:t xml:space="preserve">University Heights Center Historic Preservation</w:t>
      </w:r>
      <w:r>
        <w:tab/>
      </w:r>
      <w:r>
        <w:rPr/>
        <w:t xml:space="preserve">$750,000</w:t>
      </w:r>
    </w:p>
    <w:p>
      <w:pPr>
        <w:spacing w:before="0" w:after="0" w:line="408" w:lineRule="exact"/>
        <w:ind w:left="0" w:right="0" w:firstLine="0"/>
        <w:jc w:val="left"/>
        <w:tabs>
          <w:tab w:val="right" w:leader="dot" w:pos="9936"/>
        </w:tabs>
      </w:pPr>
      <w:r>
        <w:rPr/>
        <w:t xml:space="preserve">Railroads, Waterfowl, Field Trips and Family Outings</w:t>
      </w:r>
      <w:r>
        <w:tab/>
      </w:r>
      <w:r>
        <w:rPr/>
        <w:t xml:space="preserve">$497,000</w:t>
      </w:r>
    </w:p>
    <w:p>
      <w:pPr>
        <w:spacing w:before="0" w:after="0" w:line="408" w:lineRule="exact"/>
        <w:ind w:left="0" w:right="0" w:firstLine="0"/>
        <w:jc w:val="left"/>
        <w:tabs>
          <w:tab w:val="right" w:leader="dot" w:pos="9936"/>
        </w:tabs>
      </w:pPr>
      <w:r>
        <w:rPr/>
        <w:t xml:space="preserve">Fort Worden's Historic Warehouses Rehabilitation</w:t>
      </w:r>
      <w:r>
        <w:tab/>
      </w:r>
      <w:r>
        <w:rPr/>
        <w:t xml:space="preserve">$750,000</w:t>
      </w:r>
    </w:p>
    <w:p>
      <w:pPr>
        <w:spacing w:before="0" w:after="0" w:line="408" w:lineRule="exact"/>
        <w:ind w:left="0" w:right="0" w:firstLine="0"/>
        <w:jc w:val="left"/>
        <w:tabs>
          <w:tab w:val="right" w:leader="dot" w:pos="9936"/>
        </w:tabs>
      </w:pPr>
      <w:r>
        <w:rPr/>
        <w:t xml:space="preserve">Yamasaki Courtyard Renewal Project</w:t>
      </w:r>
      <w:r>
        <w:tab/>
      </w:r>
      <w:r>
        <w:rPr/>
        <w:t xml:space="preserve">$30,000</w:t>
      </w:r>
    </w:p>
    <w:p>
      <w:pPr>
        <w:spacing w:before="0" w:after="0" w:line="408" w:lineRule="exact"/>
        <w:ind w:left="0" w:right="0" w:firstLine="0"/>
        <w:jc w:val="left"/>
        <w:tabs>
          <w:tab w:val="right" w:leader="dot" w:pos="9936"/>
        </w:tabs>
      </w:pPr>
      <w:r>
        <w:rPr/>
        <w:t xml:space="preserve">Longview Shay Pavilion Completion</w:t>
      </w:r>
      <w:r>
        <w:tab/>
      </w:r>
      <w:r>
        <w:rPr/>
        <w:t xml:space="preserve">$60,000</w:t>
      </w:r>
    </w:p>
    <w:p>
      <w:pPr>
        <w:spacing w:before="0" w:after="0" w:line="408" w:lineRule="exact"/>
        <w:ind w:left="0" w:right="0" w:firstLine="0"/>
        <w:jc w:val="left"/>
        <w:tabs>
          <w:tab w:val="right" w:leader="dot" w:pos="9936"/>
        </w:tabs>
      </w:pPr>
      <w:r>
        <w:rPr/>
        <w:t xml:space="preserve">5th Avenue Theatre Upgrade</w:t>
      </w:r>
      <w:r>
        <w:tab/>
      </w:r>
      <w:r>
        <w:rPr/>
        <w:t xml:space="preserve">$750,000</w:t>
      </w:r>
    </w:p>
    <w:p>
      <w:pPr>
        <w:spacing w:before="0" w:after="0" w:line="408" w:lineRule="exact"/>
        <w:ind w:left="0" w:right="0" w:firstLine="0"/>
        <w:jc w:val="left"/>
        <w:tabs>
          <w:tab w:val="right" w:leader="dot" w:pos="9936"/>
        </w:tabs>
      </w:pPr>
      <w:r>
        <w:rPr/>
        <w:t xml:space="preserve">Museum of Flight Roof Repair Project</w:t>
      </w:r>
      <w:r>
        <w:tab/>
      </w:r>
      <w:r>
        <w:rPr/>
        <w:t xml:space="preserve">$376,000</w:t>
      </w:r>
    </w:p>
    <w:p>
      <w:pPr>
        <w:spacing w:before="0" w:after="0" w:line="408" w:lineRule="exact"/>
        <w:ind w:left="0" w:right="0" w:firstLine="0"/>
        <w:jc w:val="left"/>
        <w:tabs>
          <w:tab w:val="right" w:leader="dot" w:pos="9936"/>
        </w:tabs>
      </w:pPr>
      <w:r>
        <w:rPr/>
        <w:t xml:space="preserve">Tumwater Old Brewhouse Tower Rehabilitation</w:t>
      </w:r>
      <w:r>
        <w:tab/>
      </w:r>
      <w:r>
        <w:rPr/>
        <w:t xml:space="preserve">$507,000</w:t>
      </w:r>
    </w:p>
    <w:p>
      <w:pPr>
        <w:spacing w:before="0" w:after="0" w:line="408" w:lineRule="exact"/>
        <w:ind w:left="0" w:right="0" w:firstLine="0"/>
        <w:jc w:val="left"/>
        <w:tabs>
          <w:tab w:val="right" w:leader="dot" w:pos="9936"/>
        </w:tabs>
      </w:pPr>
      <w:r>
        <w:rPr/>
        <w:t xml:space="preserve">Historic Purse Seiner Shenandoah Restoration.</w:t>
      </w:r>
      <w:r>
        <w:tab/>
      </w:r>
      <w:r>
        <w:rPr/>
        <w:t xml:space="preserve">$58,000</w:t>
      </w:r>
    </w:p>
    <w:p>
      <w:pPr>
        <w:spacing w:before="0" w:after="0" w:line="408" w:lineRule="exact"/>
        <w:ind w:left="0" w:right="0" w:firstLine="0"/>
        <w:jc w:val="left"/>
        <w:tabs>
          <w:tab w:val="right" w:leader="dot" w:pos="9936"/>
        </w:tabs>
      </w:pPr>
      <w:r>
        <w:rPr/>
        <w:t xml:space="preserve">The Quincy Valley Community Heritage Barn</w:t>
      </w:r>
      <w:r>
        <w:tab/>
      </w:r>
      <w:r>
        <w:rPr/>
        <w:t xml:space="preserve">$205,000</w:t>
      </w:r>
    </w:p>
    <w:p>
      <w:pPr>
        <w:spacing w:before="0" w:after="0" w:line="408" w:lineRule="exact"/>
        <w:ind w:left="0" w:right="0" w:firstLine="0"/>
        <w:jc w:val="left"/>
        <w:tabs>
          <w:tab w:val="right" w:leader="dot" w:pos="9936"/>
        </w:tabs>
      </w:pPr>
      <w:r>
        <w:rPr/>
        <w:t xml:space="preserve">Georgetown Steam Plant Historic Concrete Restoration</w:t>
      </w:r>
      <w:r>
        <w:tab/>
      </w:r>
      <w:r>
        <w:rPr/>
        <w:t xml:space="preserve">$750,000</w:t>
      </w:r>
    </w:p>
    <w:p>
      <w:pPr>
        <w:spacing w:before="0" w:after="0" w:line="408" w:lineRule="exact"/>
        <w:ind w:left="0" w:right="0" w:firstLine="0"/>
        <w:jc w:val="left"/>
      </w:pPr>
      <w:r>
        <w:rPr/>
        <w:t xml:space="preserve">Pacific Northwest Railroad Archives Bldg Energy</w:t>
      </w:r>
    </w:p>
    <w:p>
      <w:pPr>
        <w:spacing w:before="0" w:after="0" w:line="408" w:lineRule="exact"/>
        <w:ind w:left="0" w:right="0" w:firstLine="576"/>
        <w:jc w:val="left"/>
        <w:tabs>
          <w:tab w:val="right" w:leader="dot" w:pos="9936"/>
        </w:tabs>
      </w:pPr>
      <w:r>
        <w:rPr/>
        <w:t xml:space="preserve">Efficiencies &amp; Security</w:t>
      </w:r>
      <w:r>
        <w:tab/>
      </w:r>
      <w:r>
        <w:rPr/>
        <w:t xml:space="preserve">$52,000</w:t>
      </w:r>
    </w:p>
    <w:p>
      <w:pPr>
        <w:spacing w:before="0" w:after="0" w:line="408" w:lineRule="exact"/>
        <w:ind w:left="0" w:right="0" w:firstLine="0"/>
        <w:jc w:val="left"/>
        <w:tabs>
          <w:tab w:val="right" w:leader="dot" w:pos="9936"/>
        </w:tabs>
      </w:pPr>
      <w:r>
        <w:rPr/>
        <w:t xml:space="preserve">Tollgate Farmhouse Rehabilitation</w:t>
      </w:r>
      <w:r>
        <w:tab/>
      </w:r>
      <w:r>
        <w:rPr/>
        <w:t xml:space="preserve">$279,000</w:t>
      </w:r>
    </w:p>
    <w:p>
      <w:pPr>
        <w:spacing w:before="0" w:after="0" w:line="408" w:lineRule="exact"/>
        <w:ind w:left="0" w:right="0" w:firstLine="0"/>
        <w:jc w:val="left"/>
        <w:tabs>
          <w:tab w:val="right" w:leader="dot" w:pos="9936"/>
        </w:tabs>
      </w:pPr>
      <w:r>
        <w:rPr/>
        <w:t xml:space="preserve">Illuminating the Balfour Dock Building</w:t>
      </w:r>
      <w:r>
        <w:tab/>
      </w:r>
      <w:r>
        <w:rPr/>
        <w:t xml:space="preserve">$560,000</w:t>
      </w:r>
    </w:p>
    <w:p>
      <w:pPr>
        <w:spacing w:before="0" w:after="0" w:line="408" w:lineRule="exact"/>
        <w:ind w:left="0" w:right="0" w:firstLine="0"/>
        <w:jc w:val="left"/>
      </w:pPr>
      <w:r>
        <w:rPr/>
        <w:t xml:space="preserve">Port Hadlock Heritage Campus - Growing Public Access</w:t>
      </w:r>
    </w:p>
    <w:p>
      <w:pPr>
        <w:spacing w:before="0" w:after="0" w:line="408" w:lineRule="exact"/>
        <w:ind w:left="0" w:right="0" w:firstLine="576"/>
        <w:jc w:val="left"/>
        <w:tabs>
          <w:tab w:val="right" w:leader="dot" w:pos="9936"/>
        </w:tabs>
      </w:pPr>
      <w:r>
        <w:rPr/>
        <w:t xml:space="preserve">to Traditional Boatbuilding Skills &amp; Education</w:t>
      </w:r>
      <w:r>
        <w:tab/>
      </w:r>
      <w:r>
        <w:rPr/>
        <w:t xml:space="preserve">$360,000</w:t>
      </w:r>
    </w:p>
    <w:p>
      <w:pPr>
        <w:spacing w:before="0" w:after="0" w:line="408" w:lineRule="exact"/>
        <w:ind w:left="0" w:right="0" w:firstLine="0"/>
        <w:jc w:val="left"/>
        <w:tabs>
          <w:tab w:val="right" w:leader="dot" w:pos="9936"/>
        </w:tabs>
      </w:pPr>
      <w:r>
        <w:rPr/>
        <w:t xml:space="preserve">The Old Hotel Art Gallery Renovation &amp; Upgrades</w:t>
      </w:r>
      <w:r>
        <w:tab/>
      </w:r>
      <w:r>
        <w:rPr/>
        <w:t xml:space="preserve">$56,000</w:t>
      </w:r>
    </w:p>
    <w:p>
      <w:pPr>
        <w:spacing w:before="0" w:after="0" w:line="408" w:lineRule="exact"/>
        <w:ind w:left="0" w:right="0" w:firstLine="0"/>
        <w:jc w:val="left"/>
        <w:tabs>
          <w:tab w:val="right" w:leader="dot" w:pos="9936"/>
        </w:tabs>
      </w:pPr>
      <w:r>
        <w:rPr/>
        <w:t xml:space="preserve">Kirkman House Museum</w:t>
      </w:r>
      <w:r>
        <w:tab/>
      </w:r>
      <w:r>
        <w:rPr/>
        <w:t xml:space="preserve">$90,000</w:t>
      </w:r>
    </w:p>
    <w:p>
      <w:pPr>
        <w:spacing w:before="0" w:after="0" w:line="408" w:lineRule="exact"/>
        <w:ind w:left="0" w:right="0" w:firstLine="0"/>
        <w:jc w:val="left"/>
      </w:pPr>
      <w:r>
        <w:rPr/>
        <w:t xml:space="preserve">Northwest Railway Museum - Restoring the Golden Age of</w:t>
      </w:r>
    </w:p>
    <w:p>
      <w:pPr>
        <w:spacing w:before="0" w:after="0" w:line="408" w:lineRule="exact"/>
        <w:ind w:left="0" w:right="0" w:firstLine="576"/>
        <w:jc w:val="left"/>
        <w:tabs>
          <w:tab w:val="right" w:leader="dot" w:pos="9936"/>
        </w:tabs>
      </w:pPr>
      <w:r>
        <w:rPr/>
        <w:t xml:space="preserve">Rail Travel.</w:t>
      </w:r>
      <w:r>
        <w:tab/>
      </w:r>
      <w:r>
        <w:rPr/>
        <w:t xml:space="preserve">$201,000</w:t>
      </w:r>
    </w:p>
    <w:p>
      <w:pPr>
        <w:spacing w:before="0" w:after="0" w:line="408" w:lineRule="exact"/>
        <w:ind w:left="0" w:right="0" w:firstLine="0"/>
        <w:jc w:val="left"/>
        <w:tabs>
          <w:tab w:val="right" w:leader="dot" w:pos="9936"/>
        </w:tabs>
      </w:pPr>
      <w:r>
        <w:rPr/>
        <w:t xml:space="preserve">Cornish Playhouse Theater Renovation</w:t>
      </w:r>
      <w:r>
        <w:tab/>
      </w:r>
      <w:r>
        <w:rPr/>
        <w:t xml:space="preserve">$354,000</w:t>
      </w:r>
    </w:p>
    <w:p>
      <w:pPr>
        <w:spacing w:before="0" w:after="0" w:line="408" w:lineRule="exact"/>
        <w:ind w:left="0" w:right="0" w:firstLine="0"/>
        <w:jc w:val="left"/>
      </w:pPr>
      <w:r>
        <w:rPr/>
        <w:t xml:space="preserve">Mount Baker Community Club Energy and Life</w:t>
      </w:r>
    </w:p>
    <w:p>
      <w:pPr>
        <w:spacing w:before="0" w:after="0" w:line="408" w:lineRule="exact"/>
        <w:ind w:left="0" w:right="0" w:firstLine="576"/>
        <w:jc w:val="left"/>
        <w:tabs>
          <w:tab w:val="right" w:leader="dot" w:pos="9936"/>
        </w:tabs>
      </w:pPr>
      <w:r>
        <w:rPr/>
        <w:t xml:space="preserve">Safety Improvements</w:t>
      </w:r>
      <w:r>
        <w:tab/>
      </w:r>
      <w:r>
        <w:rPr/>
        <w:t xml:space="preserve">$141,000</w:t>
      </w:r>
    </w:p>
    <w:p>
      <w:pPr>
        <w:spacing w:before="0" w:after="0" w:line="408" w:lineRule="exact"/>
        <w:ind w:left="0" w:right="0" w:firstLine="0"/>
        <w:jc w:val="left"/>
        <w:tabs>
          <w:tab w:val="right" w:leader="dot" w:pos="9936"/>
        </w:tabs>
      </w:pPr>
      <w:r>
        <w:rPr/>
        <w:t xml:space="preserve">Hubble House Restoration</w:t>
      </w:r>
      <w:r>
        <w:tab/>
      </w:r>
      <w:r>
        <w:rPr/>
        <w:t xml:space="preserve">$41,000</w:t>
      </w:r>
    </w:p>
    <w:p>
      <w:pPr>
        <w:spacing w:before="0" w:after="0" w:line="408" w:lineRule="exact"/>
        <w:ind w:left="0" w:right="0" w:firstLine="0"/>
        <w:jc w:val="left"/>
      </w:pPr>
      <w:r>
        <w:rPr/>
        <w:t xml:space="preserve">Nikkei Heritage Association of Washington - Facilities</w:t>
      </w:r>
    </w:p>
    <w:p>
      <w:pPr>
        <w:spacing w:before="0" w:after="0" w:line="408" w:lineRule="exact"/>
        <w:ind w:left="0" w:right="0" w:firstLine="576"/>
        <w:jc w:val="left"/>
        <w:tabs>
          <w:tab w:val="right" w:leader="dot" w:pos="9936"/>
        </w:tabs>
      </w:pPr>
      <w:r>
        <w:rPr/>
        <w:t xml:space="preserve">Preservation and Long Term Operations Plan</w:t>
      </w:r>
      <w:r>
        <w:tab/>
      </w:r>
      <w:r>
        <w:rPr/>
        <w:t xml:space="preserve">$21,000</w:t>
      </w:r>
    </w:p>
    <w:p>
      <w:pPr>
        <w:spacing w:before="0" w:after="0" w:line="408" w:lineRule="exact"/>
        <w:ind w:left="0" w:right="0" w:firstLine="0"/>
        <w:jc w:val="left"/>
      </w:pPr>
      <w:r>
        <w:rPr/>
        <w:t xml:space="preserve">Princess Theater and the Green Room at the Princess</w:t>
      </w:r>
    </w:p>
    <w:p>
      <w:pPr>
        <w:spacing w:before="0" w:after="0" w:line="408" w:lineRule="exact"/>
        <w:ind w:left="0" w:right="0" w:firstLine="576"/>
        <w:jc w:val="left"/>
        <w:tabs>
          <w:tab w:val="right" w:leader="dot" w:pos="9936"/>
        </w:tabs>
      </w:pPr>
      <w:r>
        <w:rPr/>
        <w:t xml:space="preserve">Rehabilitation</w:t>
      </w:r>
      <w:r>
        <w:tab/>
      </w:r>
      <w:r>
        <w:rPr/>
        <w:t xml:space="preserve">$114,000</w:t>
      </w:r>
    </w:p>
    <w:p>
      <w:pPr>
        <w:spacing w:before="0" w:after="0" w:line="408" w:lineRule="exact"/>
        <w:ind w:left="0" w:right="0" w:firstLine="0"/>
        <w:jc w:val="left"/>
        <w:tabs>
          <w:tab w:val="right" w:leader="dot" w:pos="9936"/>
        </w:tabs>
      </w:pPr>
      <w:r>
        <w:rPr/>
        <w:t xml:space="preserve">M.V. Lotus Deck Replacement</w:t>
      </w:r>
      <w:r>
        <w:tab/>
      </w:r>
      <w:r>
        <w:rPr/>
        <w:t xml:space="preserve">$29,000</w:t>
      </w:r>
    </w:p>
    <w:p>
      <w:pPr>
        <w:spacing w:before="0" w:after="0" w:line="408" w:lineRule="exact"/>
        <w:ind w:left="0" w:right="0" w:firstLine="0"/>
        <w:jc w:val="left"/>
        <w:tabs>
          <w:tab w:val="right" w:leader="dot" w:pos="9936"/>
        </w:tabs>
      </w:pPr>
      <w:r>
        <w:rPr/>
        <w:t xml:space="preserve">Woodland Theatre Repair and Restoration</w:t>
      </w:r>
      <w:r>
        <w:tab/>
      </w:r>
      <w:r>
        <w:rPr/>
        <w:t xml:space="preserve">$44,000</w:t>
      </w:r>
    </w:p>
    <w:p>
      <w:pPr>
        <w:spacing w:before="0" w:after="0" w:line="408" w:lineRule="exact"/>
        <w:ind w:left="0" w:right="0" w:firstLine="0"/>
        <w:jc w:val="left"/>
        <w:tabs>
          <w:tab w:val="right" w:leader="dot" w:pos="9936"/>
        </w:tabs>
      </w:pPr>
      <w:r>
        <w:rPr/>
        <w:t xml:space="preserve">Pacific County Historical Society - Annex Storage Building</w:t>
      </w:r>
      <w:r>
        <w:tab/>
      </w:r>
      <w:r>
        <w:rPr/>
        <w:t xml:space="preserve">$32,000</w:t>
      </w:r>
    </w:p>
    <w:p>
      <w:pPr>
        <w:spacing w:before="0" w:after="0" w:line="408" w:lineRule="exact"/>
        <w:ind w:left="0" w:right="0" w:firstLine="0"/>
        <w:jc w:val="left"/>
        <w:tabs>
          <w:tab w:val="right" w:leader="dot" w:pos="9936"/>
        </w:tabs>
      </w:pPr>
      <w:r>
        <w:rPr/>
        <w:t xml:space="preserve">Historic Schooner Suva Preservation</w:t>
      </w:r>
      <w:r>
        <w:tab/>
      </w:r>
      <w:r>
        <w:rPr/>
        <w:t xml:space="preserve">$34,000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$48,603,000</w:t>
      </w:r>
    </w:p>
    <w:p>
      <w:pPr>
        <w:tabs>
          <w:tab w:val="right" w:leader="dot" w:pos="9936"/>
        </w:tabs>
        <w:ind w:left="0" w:right="0" w:firstLine="1440"/>
      </w:pPr>
      <w:r>
        <w:rPr/>
        <w:t xml:space="preserve">TOTAL</w:t>
      </w:r>
      <w:r>
        <w:tab/>
      </w:r>
      <w:r>
        <w:rPr/>
        <w:t xml:space="preserve">$53,815,000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design, and construction,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$35,972,000</w:t>
      </w:r>
    </w:p>
    <w:p>
      <w:pPr>
        <w:tabs>
          <w:tab w:val="right" w:leader="dot" w:pos="9936"/>
        </w:tabs>
        <w:ind w:left="0" w:right="0" w:firstLine="1440"/>
      </w:pPr>
      <w:r>
        <w:rPr/>
        <w:t xml:space="preserve">TOTAL</w:t>
      </w:r>
      <w:r>
        <w:tab/>
      </w:r>
      <w:r>
        <w:rPr/>
        <w:t xml:space="preserve">$39,518,000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$25,458,000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$34,728,000</w:t>
      </w:r>
    </w:p>
    <w:p>
      <w:pPr>
        <w:tabs>
          <w:tab w:val="right" w:leader="dot" w:pos="9936"/>
        </w:tabs>
        <w:ind w:left="0" w:right="0" w:firstLine="1440"/>
      </w:pPr>
      <w:r>
        <w:rPr/>
        <w:t xml:space="preserve">TOTAL</w:t>
      </w:r>
      <w:r>
        <w:tab/>
      </w:r>
      <w:r>
        <w:rPr/>
        <w:t xml:space="preserve">$37,494,000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College Student Housing (92000028)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college to implement the initial steps for student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fifteen million, fifty seven thousand dollars for the 2017-2019 biennium, two hundred sixty-two million, two hundred ninety thousand dollars for the 2019-2021 biennium, and three hundred sixty-six million, four hundred seventy-five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t xml:space="preserve">(f)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(g) Enter into a financing contract on behalf of Clover Park Technical College for up to $33,288,000 plus financing expenses and required reserves pursuant to chapter 39.94 RCW to construct a center for advanced manufacturing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2018, (Senate Bill No. . . .,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$13,000,000 for</w:t>
      </w:r>
    </w:p>
    <w:p>
      <w:pPr>
        <w:spacing w:before="0" w:after="0" w:line="408" w:lineRule="exact"/>
        <w:ind w:left="0" w:right="0" w:firstLine="0"/>
        <w:jc w:val="left"/>
        <w:tabs>
          <w:tab w:val="right" w:leader="dot" w:pos="9936"/>
        </w:tabs>
      </w:pPr>
      <w:r>
        <w:rPr/>
        <w:t xml:space="preserve">fiscal year 2018 and $13,000,000 for fiscal year 2019</w:t>
      </w:r>
      <w:r>
        <w:tab/>
      </w:r>
      <w:r>
        <w:rPr/>
        <w:t xml:space="preserve">$26,000,000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$15,250,000 in</w:t>
      </w:r>
    </w:p>
    <w:p>
      <w:pPr>
        <w:spacing w:before="0" w:after="0" w:line="408" w:lineRule="exact"/>
        <w:ind w:left="0" w:right="0" w:firstLine="0"/>
        <w:jc w:val="left"/>
        <w:tabs>
          <w:tab w:val="right" w:leader="dot" w:pos="9936"/>
        </w:tabs>
      </w:pPr>
      <w:r>
        <w:rPr/>
        <w:t xml:space="preserve">fiscal year 2018 and $15,250,000 in fiscal year 2019</w:t>
      </w:r>
      <w:r>
        <w:tab/>
      </w:r>
      <w:r>
        <w:rPr/>
        <w:t xml:space="preserve">$30,500,000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account is hereby created in the state treasury. The sums deposited in the energy recovery act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may sell the property known as the Tacoma Rhodes complex to the city of Tacoma. The property consists of the broadway building, market building, and parking garage. The department may negotiate a sale with the city of Tacoma for less than fair market value, but the city must pay appraisal costs, all debt service, all closing costs, and the cost of any outstanding liabilities necessary to keep the department whole. The terms and conditions of the sale must meet the business needs of the state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TASK FORCE ON IMPROVING STATE FUNDING FOR SCHOOL CONSTRUCTION.</w:t>
      </w:r>
      <w:r>
        <w:t xml:space="preserve">  </w:t>
      </w: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final findings and recommendations to the governor, the superintendent of public instruction, and the appropriate committees of the legislature by October 1,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2016 c 202 s 58 are each reenacted and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2007-2009 biennium, moneys in the account may be used for predesign identified in section 1037, chapter 328, Laws of 2008.</w:t>
      </w:r>
      <w:r>
        <w:t>))</w:t>
      </w:r>
      <w:r>
        <w:rPr/>
        <w:t xml:space="preserve"> For the 2015-2017 biennium, moneys in the account may be used for studies related to real estate.</w:t>
      </w:r>
    </w:p>
    <w:p>
      <w:pPr>
        <w:spacing w:before="0" w:after="0" w:line="408" w:lineRule="exact"/>
        <w:ind w:left="0" w:right="0" w:firstLine="576"/>
        <w:jc w:val="left"/>
      </w:pPr>
      <w:r>
        <w:t>((</w:t>
      </w:r>
      <w:r>
        <w:rPr>
          <w:strike/>
        </w:rPr>
        <w:t xml:space="preserve">During the 2009-2011 and 2011-2013 fiscal biennia, the legislature may transfer from the Thurston county capital facilities account to the state general fund such amounts as reflect the excess fund balance of the account.</w:t>
      </w:r>
      <w:r>
        <w:t>))</w:t>
      </w:r>
      <w:r>
        <w:rPr/>
        <w:t xml:space="preserve"> </w:t>
      </w:r>
      <w:r>
        <w:rPr>
          <w:u w:val="single"/>
        </w:rPr>
        <w:t xml:space="preserve">During the 2017-2019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4002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parks and recreation commission, with guidance and instruction from the office of financial management, must create a reporting structure to track the success and progress of addressing the maintenance backlog of state parks facilities. The reporting structure must provide a forecast of new project proposals, the status of current funded projects and a list of completed projects. The report must also include a facilities condition index that illustrates changes to the overall quality of facilities of state parks. The legislature intends to receive future biennia capital budget requests that address facility maintenance backlog from the commission in the form of this new report structure as additional information to the current format for agency budget submittal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enactment of 2017-2019 omnibus capital appropriations after the beginning of the fiscal biennium, in addition to any authority provided by law, for any project or program authorized in this act that a state agency will administer through a grant or loan, the administering state agency is authorized to reimburse the recipient of the grant or loan for expenses incurred on or after July 1, 2017, by the recipient with nonstate moneys, not to exceed the amount authorized for that project or program in this act.</w:t>
      </w:r>
    </w:p>
    <w:p>
      <w:pPr>
        <w:spacing w:before="0" w:after="0" w:line="408" w:lineRule="exact"/>
        <w:ind w:left="0" w:right="0" w:firstLine="576"/>
        <w:jc w:val="left"/>
      </w:pPr>
      <w:r>
        <w:rPr/>
        <w:t xml:space="preserve">If necessary to reimburse expenses incurred from July 1, 2017, to the effective date of this act, this authorization supersedes agency rules regarding timing and deadlines for grant or loan applications and rules limiting reimbursement to only those expenses incurred after execution of a grant or loan agreement, subject to the approval of the office of financial management. Reimbursement for expenses must comply with all other conditions and limitations that apply to the grant or loan project or program. Section 7023 of this act applies to the reimbursements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enactment of 2017-2019 omnibus capital appropriations after the beginning of the fiscal biennium, in addition to any authority provided by law, state agencies that receive appropriations in this act are authorized to reimburse cost of capital expenditures that:</w:t>
      </w:r>
    </w:p>
    <w:p>
      <w:pPr>
        <w:spacing w:before="0" w:after="0" w:line="408" w:lineRule="exact"/>
        <w:ind w:left="0" w:right="0" w:firstLine="576"/>
        <w:jc w:val="left"/>
      </w:pPr>
      <w:r>
        <w:rPr/>
        <w:t xml:space="preserve">(1) Were incurred between July 1, 2017, and the effective date of this section;</w:t>
      </w:r>
    </w:p>
    <w:p>
      <w:pPr>
        <w:spacing w:before="0" w:after="0" w:line="408" w:lineRule="exact"/>
        <w:ind w:left="0" w:right="0" w:firstLine="576"/>
        <w:jc w:val="left"/>
      </w:pPr>
      <w:r>
        <w:rPr/>
        <w:t xml:space="preserve">(2) Are for the capital projects or programs authorized in this act; and</w:t>
      </w:r>
    </w:p>
    <w:p>
      <w:pPr>
        <w:spacing w:before="0" w:after="0" w:line="408" w:lineRule="exact"/>
        <w:ind w:left="0" w:right="0" w:firstLine="576"/>
        <w:jc w:val="left"/>
      </w:pPr>
      <w:r>
        <w:rPr/>
        <w:t xml:space="preserve">(3) Were paid from omnibus operating budget appropriations or other permitted operating accounts. Section 7023 of this act applies to the reimbursements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18, 2018.</w:t>
      </w:r>
    </w:p>
    <w:p>
      <w:pPr>
        <w:spacing w:before="0" w:after="0" w:line="408" w:lineRule="exact"/>
        <w:ind w:left="0" w:right="0" w:firstLine="576"/>
        <w:jc w:val="left"/>
      </w:pPr>
      <w:r>
        <w:rPr/>
        <w:t xml:space="preserve">Passed by the House January 18, 2018.</w:t>
      </w:r>
    </w:p>
    <w:p>
      <w:pPr>
        <w:spacing w:before="0" w:after="0" w:line="408" w:lineRule="exact"/>
        <w:ind w:left="0" w:right="0" w:firstLine="576"/>
        <w:jc w:val="left"/>
      </w:pPr>
      <w:r>
        <w:rPr/>
        <w:t xml:space="preserve">Approved by the Governor January 19, 2018, with the exception of certain items that were vetoed.</w:t>
      </w:r>
    </w:p>
    <w:p>
      <w:pPr>
        <w:spacing w:before="0" w:after="0" w:line="408" w:lineRule="exact"/>
        <w:ind w:left="0" w:right="0" w:firstLine="576"/>
        <w:jc w:val="left"/>
      </w:pPr>
      <w:r>
        <w:rPr/>
        <w:t xml:space="preserve">Filed in Office of Secretary of State January 19,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1034, Substitute Senate Bill No. 6090 entitled:</w:t>
      </w:r>
    </w:p>
    <w:p>
      <w:pPr>
        <w:spacing w:before="120" w:after="120" w:line="408" w:lineRule="exact"/>
        <w:ind w:left="0" w:right="0" w:firstLine="576"/>
        <w:jc w:val="left"/>
      </w:pPr>
      <w:r>
        <w:rPr/>
        <w:t xml:space="preserve">"AN ACT Relating to the capital budget."</w:t>
      </w:r>
    </w:p>
    <w:p>
      <w:pPr>
        <w:spacing w:before="0" w:after="120" w:line="408" w:lineRule="exact"/>
        <w:ind w:left="0" w:right="0" w:firstLine="0"/>
        <w:jc w:val="left"/>
      </w:pPr>
      <w:r>
        <w:rPr/>
        <w:t xml:space="preserve">Section 1034, pages 48-49, Office of Financial Management, Higher Education and State Facility Financing Study</w:t>
      </w:r>
    </w:p>
    <w:p>
      <w:pPr>
        <w:spacing w:before="0" w:after="0" w:line="408" w:lineRule="exact"/>
        <w:ind w:left="0" w:right="0" w:firstLine="0"/>
        <w:jc w:val="left"/>
      </w:pPr>
      <w:r>
        <w:rPr/>
        <w:t xml:space="preserve">This appropriation directs the Office of Financial Management (OFM) to study financing options for the construction of higher education facilities. Although there are merits to studying this topic, OFM would like to collaborate with the Legislature on developing the scope and methodology. For this reason, I have vetoed Section 1034.</w:t>
      </w:r>
    </w:p>
    <w:p>
      <w:pPr>
        <w:spacing w:before="0" w:after="0" w:line="408" w:lineRule="exact"/>
        <w:ind w:left="0" w:right="0" w:firstLine="0"/>
        <w:jc w:val="left"/>
      </w:pPr>
      <w:r>
        <w:rPr/>
        <w:t xml:space="preserve">For these reasons I have vetoed Section 1034 of Substitute Senate Bill No. 6090.</w:t>
      </w:r>
    </w:p>
    <w:p>
      <w:pPr>
        <w:spacing w:before="120" w:after="0" w:line="408" w:lineRule="exact"/>
        <w:ind w:left="0" w:right="0" w:firstLine="0"/>
        <w:jc w:val="left"/>
      </w:pPr>
      <w:r>
        <w:rPr/>
        <w:t xml:space="preserve">With the exception of Section 1034, Substitute Senate Bill No. 6090 is approved."</w:t>
      </w:r>
    </w:p>
    <w:sectPr>
      <w:pgNumType w:start="1"/>
      <w:footerReference xmlns:r="http://schemas.openxmlformats.org/officeDocument/2006/relationships" r:id="R8b28863b796e4b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3922f0cc04018" /><Relationship Type="http://schemas.openxmlformats.org/officeDocument/2006/relationships/footer" Target="/word/footer.xml" Id="R8b28863b796e4ba1" /></Relationships>
</file>