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286aa9caec4e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6024</w:t>
      </w:r>
    </w:p>
    <w:p>
      <w:pPr>
        <w:jc w:val="center"/>
        <w:spacing w:before="480" w:after="0" w:line="240"/>
      </w:pPr>
      <w:r>
        <w:t xml:space="preserve">Chapter </w:t>
      </w:r>
      <w:r>
        <w:rPr/>
        <w:t xml:space="preserve">185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DEPARTMENT OF FINANCIAL INSTITUTIONS SECURITIES DIVISION--FEES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89</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11:31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and Angel; by request of Department of Financial Institutions</w:t>
      </w:r>
    </w:p>
    <w:p/>
    <w:p>
      <w:r>
        <w:rPr>
          <w:t xml:space="preserve">Prefiled 12/14/17.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certain fees collected by the department of financial institutions for the securities division; and amending RCW 21.20.340 and 43.320.110.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2016 c 61 s 10 are each amended to read as follows:</w:t>
      </w:r>
    </w:p>
    <w:p>
      <w:pPr>
        <w:spacing w:before="0" w:after="0" w:line="408" w:lineRule="exact"/>
        <w:ind w:left="0" w:right="0" w:firstLine="576"/>
        <w:jc w:val="left"/>
      </w:pPr>
      <w:r>
        <w:rPr>
          <w:u w:val="single"/>
        </w:rPr>
        <w:t xml:space="preserve">Except as provided in subsection (15) of this section, t</w:t>
      </w:r>
      <w:r>
        <w:rPr/>
        <w:t xml:space="preserve">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the renewal deadline specified in the central registration depository (CRD) or the investment adviser registration depository (IARD), as applicable, the renewal is delinquent. The director by rule or order may set and assess a fee for delinquency not to exceed two hundred dollars. Acceptance by the director of an application for renewal after the renewal deadline specified in the CRD or the IARD, as applicable,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 </w:t>
      </w:r>
      <w:r>
        <w:rPr>
          <w:u w:val="single"/>
        </w:rPr>
        <w:t xml:space="preserve">of financial institutions</w:t>
      </w:r>
      <w:r>
        <w:rPr/>
        <w:t xml:space="preserve">.</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u w:val="single"/>
        </w:rPr>
        <w:t xml:space="preserve">(15) Upon a finding by the department of financial institutions that a fee increase is necessary to defray the costs of administering this chapter, the director may by rule adjust the fees specified in this section upward by no more than fifteen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2017 3rd sp.s. c 1 s 976 are each amended to read as follows:</w:t>
      </w:r>
    </w:p>
    <w:p>
      <w:pPr>
        <w:spacing w:before="0" w:after="0" w:line="408" w:lineRule="exact"/>
        <w:ind w:left="0" w:right="0" w:firstLine="576"/>
        <w:jc w:val="left"/>
      </w:pPr>
      <w:r>
        <w:rPr>
          <w:u w:val="single"/>
        </w:rPr>
        <w:t xml:space="preserve">(1)</w:t>
      </w:r>
      <w:r>
        <w:rPr/>
        <w:t xml:space="preserve"> There is created </w:t>
      </w:r>
      <w:r>
        <w:rPr>
          <w:u w:val="single"/>
        </w:rPr>
        <w:t xml:space="preserve">in the custody of the state treasurer</w:t>
      </w:r>
      <w:r>
        <w:rPr/>
        <w:t xml:space="preserve"> a local fund known as the "financial services regulation fund" which shall consist of all moneys received by the divisions of the department of financial institutions, except </w:t>
      </w:r>
      <w:r>
        <w:t>((</w:t>
      </w:r>
      <w:r>
        <w:rPr>
          <w:strike/>
        </w:rPr>
        <w:t xml:space="preserve">for</w:t>
      </w:r>
      <w:r>
        <w:t>))</w:t>
      </w:r>
      <w:r>
        <w:rPr/>
        <w:t xml:space="preserve"> </w:t>
      </w:r>
      <w:r>
        <w:rPr>
          <w:u w:val="single"/>
        </w:rPr>
        <w:t xml:space="preserve">as provided in subsection (2) of this section.</w:t>
      </w:r>
    </w:p>
    <w:p>
      <w:pPr>
        <w:spacing w:before="0" w:after="0" w:line="408" w:lineRule="exact"/>
        <w:ind w:left="0" w:right="0" w:firstLine="576"/>
        <w:jc w:val="left"/>
      </w:pPr>
      <w:r>
        <w:rPr>
          <w:u w:val="single"/>
        </w:rPr>
        <w:t xml:space="preserve">(2) T</w:t>
      </w:r>
      <w:r>
        <w:rPr/>
        <w:t xml:space="preserve">he division of securities </w:t>
      </w:r>
      <w:r>
        <w:t>((</w:t>
      </w:r>
      <w:r>
        <w:rPr>
          <w:strike/>
        </w:rPr>
        <w:t xml:space="preserve">which</w:t>
      </w:r>
      <w:r>
        <w:t>))</w:t>
      </w:r>
      <w:r>
        <w:rPr/>
        <w:t xml:space="preserve"> shall deposit thirteen percent of all moneys received, except as provided in RCW 43.320.115 </w:t>
      </w:r>
      <w:r>
        <w:rPr>
          <w:u w:val="single"/>
        </w:rPr>
        <w:t xml:space="preserve">and subsection (3) of this section</w:t>
      </w:r>
      <w:r>
        <w:rPr/>
        <w:t xml:space="preserve">,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w:t>
      </w:r>
      <w:r>
        <w:t>((</w:t>
      </w:r>
      <w:r>
        <w:rPr>
          <w:strike/>
        </w:rPr>
        <w:t xml:space="preserve">The state treasurer shall be the custodian of the fund.</w:t>
      </w:r>
      <w:r>
        <w:t>))</w:t>
      </w:r>
    </w:p>
    <w:p>
      <w:pPr>
        <w:spacing w:before="0" w:after="0" w:line="408" w:lineRule="exact"/>
        <w:ind w:left="0" w:right="0" w:firstLine="576"/>
        <w:jc w:val="left"/>
      </w:pPr>
      <w:r>
        <w:rPr>
          <w:u w:val="single"/>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u w:val="single"/>
        </w:rPr>
        <w:t xml:space="preserve">(4)</w:t>
      </w:r>
      <w:r>
        <w:rPr/>
        <w:t xml:space="preserve">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t>((</w:t>
      </w:r>
      <w:r>
        <w:rPr>
          <w:strike/>
        </w:rPr>
        <w:t xml:space="preserve">During the 2015-2017 fiscal biennium, the legislature may transfer from the financial services regulation fund to the state general fund such amounts as reflect the excess fund balance of the fund.</w:t>
      </w:r>
      <w:r>
        <w:t>))</w:t>
      </w:r>
      <w:r>
        <w:rPr/>
        <w:t xml:space="preserve"> During the 2015-2017 and 2017-2019 fiscal biennia, moneys from the financial services regulation fund may be appropriated for the family prosperity account program at the department of commerce and for the operations of the department of revenue.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27164600c834f2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fdbb210de34cf9" /><Relationship Type="http://schemas.openxmlformats.org/officeDocument/2006/relationships/footer" Target="/word/footer.xml" Id="R527164600c834f26" /></Relationships>
</file>