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44470351ee4b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6012</w:t>
      </w:r>
    </w:p>
    <w:p>
      <w:pPr>
        <w:jc w:val="center"/>
        <w:spacing w:before="480" w:after="0" w:line="240"/>
      </w:pPr>
      <w:r>
        <w:t xml:space="preserve">Chapter </w:t>
      </w:r>
      <w:r>
        <w:rPr/>
        <w:t xml:space="preserve">69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DRIVER'S LICENSE VETERAN DESIGNATION--REQUIREMENTS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6012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11:21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6012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King, Sheldon, Angel, Rolfes, Van De Wege, Keiser, Hunt, Conway, Chase, Short, O'Ban, Saldaña, and Mullet)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the issuance of a driver's license that includes a veteran designation; and amending RCW 46.20.161.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2014 c 185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 The license must include a distinguishing number assigned to the licensee, the name of record, date of birth, Washington residence address, photograph, a brief description of the licensee, either a facsimile of the signature of the licensee or a space upon which the licensee shall write his or her usual signature with pen and ink immediately upon receipt of the license, and, if applicable, the person's status as a veteran as provided in subsection (2) of this section. No license is valid until it has been so signed by the licensee.</w:t>
      </w:r>
    </w:p>
    <w:p>
      <w:pPr>
        <w:spacing w:before="0" w:after="0" w:line="408" w:lineRule="exact"/>
        <w:ind w:left="0" w:right="0" w:firstLine="576"/>
        <w:jc w:val="left"/>
      </w:pPr>
      <w:r>
        <w:rPr/>
        <w:t xml:space="preserve">(2) A </w:t>
      </w:r>
      <w:r>
        <w:t>((</w:t>
      </w:r>
      <w:r>
        <w:rPr>
          <w:strike/>
        </w:rPr>
        <w:t xml:space="preserve">person</w:t>
      </w:r>
      <w:r>
        <w:t>))</w:t>
      </w:r>
      <w:r>
        <w:rPr/>
        <w:t xml:space="preserve"> </w:t>
      </w:r>
      <w:r>
        <w:rPr>
          <w:u w:val="single"/>
        </w:rPr>
        <w:t xml:space="preserve">veteran, as defined in RCW 41.04.007, or an individual who otherwise meets the criteria of RCW 41.04.007 but who has received a general discharge under honorable conditions,</w:t>
      </w:r>
      <w:r>
        <w:rPr/>
        <w:t xml:space="preserve"> may apply to the department to obtain a veteran designation on a driver's license issued under this section by providing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A United States department of veterans affairs identification card or proof of service letter;</w:t>
      </w:r>
    </w:p>
    <w:p>
      <w:pPr>
        <w:spacing w:before="0" w:after="0" w:line="408" w:lineRule="exact"/>
        <w:ind w:left="0" w:right="0" w:firstLine="576"/>
        <w:jc w:val="left"/>
      </w:pPr>
      <w:r>
        <w:rPr>
          <w:u w:val="single"/>
        </w:rPr>
        <w:t xml:space="preserve">(b) A</w:t>
      </w:r>
      <w:r>
        <w:rPr/>
        <w:t xml:space="preserve"> United States department of defense discharge document, DD Form 214 </w:t>
      </w:r>
      <w:r>
        <w:rPr>
          <w:u w:val="single"/>
        </w:rPr>
        <w:t xml:space="preserve">or DD Form 215</w:t>
      </w:r>
      <w:r>
        <w:rPr/>
        <w:t xml:space="preserve">, as it exists on </w:t>
      </w:r>
      <w:r>
        <w:t>((</w:t>
      </w:r>
      <w:r>
        <w:rPr>
          <w:strike/>
        </w:rPr>
        <w:t xml:space="preserve">August 30, 2017</w:t>
      </w:r>
      <w:r>
        <w:t>))</w:t>
      </w:r>
      <w:r>
        <w:rPr/>
        <w:t xml:space="preserve"> </w:t>
      </w:r>
      <w:r>
        <w:rPr>
          <w:u w:val="single"/>
        </w:rPr>
        <w:t xml:space="preserve">the effective date of this section</w:t>
      </w:r>
      <w:r>
        <w:rPr/>
        <w:t xml:space="preserve">, or such subsequent date as may be provided by the department by rule, consistent with the purposes of this section, </w:t>
      </w:r>
      <w:r>
        <w:rPr>
          <w:u w:val="single"/>
        </w:rPr>
        <w:t xml:space="preserve">or equivalent or successor discharge paperwork,</w:t>
      </w:r>
      <w:r>
        <w:rPr/>
        <w:t xml:space="preserve"> that shows a discharge status of "honorable" or "general under honorable conditions" that establishes the person's service in the armed forces of the United States</w:t>
      </w:r>
      <w:r>
        <w:rPr>
          <w:u w:val="single"/>
        </w:rPr>
        <w:t xml:space="preserve">;</w:t>
      </w:r>
    </w:p>
    <w:p>
      <w:pPr>
        <w:spacing w:before="0" w:after="0" w:line="408" w:lineRule="exact"/>
        <w:ind w:left="0" w:right="0" w:firstLine="576"/>
        <w:jc w:val="left"/>
      </w:pPr>
      <w:r>
        <w:rPr>
          <w:u w:val="single"/>
        </w:rPr>
        <w:t xml:space="preserve">(c) A national guard state-issued report of separation and military service, NGB Form 22, as it exists on the effective date of this section,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u w:val="single"/>
        </w:rPr>
        <w:t xml:space="preserve">(d)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u w:val="single"/>
        </w:rPr>
        <w:t xml:space="preserve">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22bdfd5012c84ca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e113ad90bf4cc4" /><Relationship Type="http://schemas.openxmlformats.org/officeDocument/2006/relationships/footer" Target="/word/footer.xml" Id="R22bdfd5012c84ca2" /></Relationships>
</file>