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d1f9eb98ff433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5976</w:t>
      </w:r>
    </w:p>
    <w:p>
      <w:pPr>
        <w:jc w:val="center"/>
        <w:spacing w:before="480" w:after="0" w:line="240"/>
      </w:pPr>
      <w:r>
        <w:t xml:space="preserve">Chapter </w:t>
      </w:r>
      <w:r>
        <w:rPr/>
        <w:t xml:space="preserve">24</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HOME CARE SERVICES INDIVIDUAL PROVIDERS--OVERTIME PAY--EXTENSION</w:t>
      </w:r>
    </w:p>
    <w:p>
      <w:pPr>
        <w:spacing w:before="720" w:after="240" w:line="240" w:lineRule="exact"/>
        <w:ind w:left="0" w:right="0" w:firstLine="576"/>
        <w:jc w:val="center"/>
      </w:pPr>
      <w:r>
        <w:t xml:space="preserve">EFFECTIVE DATE: </w:t>
      </w:r>
      <w:r>
        <w:rPr/>
        <w:t xml:space="preserve">July 6,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93</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5976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6, 2017 2:50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5976</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3rd Special Session</w:t>
      </w:r>
    </w:p>
    <w:p/>
    <w:p>
      <w:r>
        <w:rPr>
          <w:b/>
        </w:rPr>
        <w:t xml:space="preserve">By </w:t>
      </w:r>
      <w:r>
        <w:t>Senators Rivers and Liias</w:t>
      </w:r>
    </w:p>
    <w:p/>
    <w:p>
      <w:r>
        <w:rPr>
          <w:t xml:space="preserve">Read first time 06/30/17.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wages or hours of individual providers; amending RCW 74.39A.270;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2016 sp.s. c 30 s 1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Except as described in subsection (9) of this section, no agency or department of the state may establish policies or rules governing the wages or hours of individual providers.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(b)(i) The requirement that the number of hours the department may pay any single individual provider is limited to:</w:t>
      </w:r>
    </w:p>
    <w:p>
      <w:pPr>
        <w:spacing w:before="0" w:after="0" w:line="408" w:lineRule="exact"/>
        <w:ind w:left="0" w:right="0" w:firstLine="576"/>
        <w:jc w:val="left"/>
      </w:pPr>
      <w:r>
        <w:rPr/>
        <w:t xml:space="preserve">(A) Sixty hours each workweek if the individual provider was working an average number of hours in excess of forty hours for the workweeks during January 2016, except for fiscal years 2016 </w:t>
      </w:r>
      <w:r>
        <w:t>((</w:t>
      </w:r>
      <w:r>
        <w:rPr>
          <w:strike/>
        </w:rPr>
        <w:t xml:space="preserve">and</w:t>
      </w:r>
      <w:r>
        <w:t>))</w:t>
      </w:r>
      <w:r>
        <w:rPr>
          <w:u w:val="single"/>
        </w:rPr>
        <w:t xml:space="preserve">,</w:t>
      </w:r>
      <w:r>
        <w:rPr/>
        <w:t xml:space="preserve"> 2017, </w:t>
      </w:r>
      <w:r>
        <w:rPr>
          <w:u w:val="single"/>
        </w:rPr>
        <w:t xml:space="preserve">and 2018,</w:t>
      </w:r>
      <w:r>
        <w:rPr/>
        <w:t xml:space="preserve"> the limit is sixty-five hours each workweek; or</w:t>
      </w:r>
    </w:p>
    <w:p>
      <w:pPr>
        <w:spacing w:before="0" w:after="0" w:line="408" w:lineRule="exact"/>
        <w:ind w:left="0" w:right="0" w:firstLine="576"/>
        <w:jc w:val="left"/>
      </w:pPr>
      <w:r>
        <w:rPr/>
        <w:t xml:space="preserve">(B) Forty hours each workweek if the individual provider was not working an average number of hours in excess of forty hours for the workweeks during January 2016, or had no reported hours for the month of January 2016.</w:t>
      </w:r>
    </w:p>
    <w:p>
      <w:pPr>
        <w:spacing w:before="0" w:after="0" w:line="408" w:lineRule="exact"/>
        <w:ind w:left="0" w:right="0" w:firstLine="576"/>
        <w:jc w:val="left"/>
      </w:pPr>
      <w:r>
        <w:rPr/>
        <w:t xml:space="preserve">(ii) Additional hours may be authorized under criteria established by rules adopted by the department under subsection (9) of this section.</w:t>
      </w:r>
    </w:p>
    <w:p>
      <w:pPr>
        <w:spacing w:before="0" w:after="0" w:line="408" w:lineRule="exact"/>
        <w:ind w:left="0" w:right="0" w:firstLine="576"/>
        <w:jc w:val="left"/>
      </w:pPr>
      <w:r>
        <w:rPr/>
        <w:t xml:space="preserve">(iii) Additional hours may be authorized for required training under RCW 74.39A.074, 74.39A.076, and 74.39A.341.</w:t>
      </w:r>
    </w:p>
    <w:p>
      <w:pPr>
        <w:spacing w:before="0" w:after="0" w:line="408" w:lineRule="exact"/>
        <w:ind w:left="0" w:right="0" w:firstLine="576"/>
        <w:jc w:val="left"/>
      </w:pPr>
      <w:r>
        <w:rPr/>
        <w:t xml:space="preserve">(iv) An individual provider may appeal to the department for qualification for the hour limitation in (b)(i)(A) of this subsection if the average weekly hours the </w:t>
      </w:r>
      <w:r>
        <w:t>((</w:t>
      </w:r>
      <w:r>
        <w:rPr>
          <w:strike/>
        </w:rPr>
        <w:t xml:space="preserve">[individual]</w:t>
      </w:r>
      <w:r>
        <w:t>))</w:t>
      </w:r>
      <w:r>
        <w:rPr/>
        <w:t xml:space="preserve"> </w:t>
      </w:r>
      <w:r>
        <w:rPr>
          <w:u w:val="single"/>
        </w:rPr>
        <w:t xml:space="preserve">individual</w:t>
      </w:r>
      <w:r>
        <w:rPr/>
        <w:t xml:space="preserve"> provider was working in January 2016 materially underrepresent the average weekly hours worked by the individual provider during the first three months of 2016.</w:t>
      </w:r>
    </w:p>
    <w:p>
      <w:pPr>
        <w:spacing w:before="0" w:after="0" w:line="408" w:lineRule="exact"/>
        <w:ind w:left="0" w:right="0" w:firstLine="576"/>
        <w:jc w:val="left"/>
      </w:pPr>
      <w:r>
        <w:rPr/>
        <w:t xml:space="preserve">(v) No individual provider is subject to the hour limitations in (b)(i)(A) of this subsection until the department has conducted a review of the plan of care for the consumers served by the </w:t>
      </w:r>
      <w:r>
        <w:t>((</w:t>
      </w:r>
      <w:r>
        <w:rPr>
          <w:strike/>
        </w:rPr>
        <w:t xml:space="preserve">[individual]</w:t>
      </w:r>
      <w:r>
        <w:t>))</w:t>
      </w:r>
      <w:r>
        <w:rPr/>
        <w:t xml:space="preserve"> </w:t>
      </w:r>
      <w:r>
        <w:rPr>
          <w:u w:val="single"/>
        </w:rPr>
        <w:t xml:space="preserve">individual</w:t>
      </w:r>
      <w:r>
        <w:rPr/>
        <w:t xml:space="preserve"> provider. The department shall review plans of care expeditiously, starting with consumers connected with the most individual provider overtime;</w:t>
      </w:r>
    </w:p>
    <w:p>
      <w:pPr>
        <w:spacing w:before="0" w:after="0" w:line="408" w:lineRule="exact"/>
        <w:ind w:left="0" w:right="0" w:firstLine="576"/>
        <w:jc w:val="left"/>
      </w:pPr>
      <w:r>
        <w:rPr/>
        <w:t xml:space="preserve">(c) The requirement that the total number of additional hours in excess of forty hours authorized under (b) of this subsection and subsection (9) of this section are limited by the total hours as provided in subsection (10) of this section;</w:t>
      </w:r>
    </w:p>
    <w:p>
      <w:pPr>
        <w:spacing w:before="0" w:after="0" w:line="408" w:lineRule="exact"/>
        <w:ind w:left="0" w:right="0" w:firstLine="576"/>
        <w:jc w:val="left"/>
      </w:pPr>
      <w:r>
        <w:rPr/>
        <w:t xml:space="preserve">(d)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(e) The consumer's right to assign hours to one or more individual providers consistent with the rules adopted under this chapter and his or her plan of care;</w:t>
      </w:r>
    </w:p>
    <w:p>
      <w:pPr>
        <w:spacing w:before="0" w:after="0" w:line="408" w:lineRule="exact"/>
        <w:ind w:left="0" w:right="0" w:firstLine="576"/>
        <w:jc w:val="left"/>
      </w:pPr>
      <w:r>
        <w:rPr/>
        <w:t xml:space="preserve">(f)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(g)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(h)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(5)(h).</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rPr/>
        <w:t xml:space="preserve">(9) The department may not pay any single individual provider more than the hours listed in subsection (5)(b) of this section unless the department authorizes additional hours under criteria established by rule. The criteria must be limited in scope to reduce the state's exposure to payment of overtime, address travel time from worksite to worksite, and address the following needs of consumers:</w:t>
      </w:r>
    </w:p>
    <w:p>
      <w:pPr>
        <w:spacing w:before="0" w:after="0" w:line="408" w:lineRule="exact"/>
        <w:ind w:left="0" w:right="0" w:firstLine="576"/>
        <w:jc w:val="left"/>
      </w:pPr>
      <w:r>
        <w:rPr/>
        <w:t xml:space="preserve">(a) Ensuring that consumers are not at increased risk for institutionalization;</w:t>
      </w:r>
    </w:p>
    <w:p>
      <w:pPr>
        <w:spacing w:before="0" w:after="0" w:line="408" w:lineRule="exact"/>
        <w:ind w:left="0" w:right="0" w:firstLine="576"/>
        <w:jc w:val="left"/>
      </w:pPr>
      <w:r>
        <w:rPr/>
        <w:t xml:space="preserve">(b) When there is a limited number of </w:t>
      </w:r>
      <w:r>
        <w:t>((</w:t>
      </w:r>
      <w:r>
        <w:rPr>
          <w:strike/>
        </w:rPr>
        <w:t xml:space="preserve">[individual]</w:t>
      </w:r>
      <w:r>
        <w:t>))</w:t>
      </w:r>
      <w:r>
        <w:rPr/>
        <w:t xml:space="preserve"> </w:t>
      </w:r>
      <w:r>
        <w:rPr>
          <w:u w:val="single"/>
        </w:rPr>
        <w:t xml:space="preserve">individual</w:t>
      </w:r>
      <w:r>
        <w:rPr/>
        <w:t xml:space="preserve"> providers within the geographic region of the consumer;</w:t>
      </w:r>
    </w:p>
    <w:p>
      <w:pPr>
        <w:spacing w:before="0" w:after="0" w:line="408" w:lineRule="exact"/>
        <w:ind w:left="0" w:right="0" w:firstLine="576"/>
        <w:jc w:val="left"/>
      </w:pPr>
      <w:r>
        <w:rPr/>
        <w:t xml:space="preserve">(c) When there is a limited number of </w:t>
      </w:r>
      <w:r>
        <w:t>((</w:t>
      </w:r>
      <w:r>
        <w:rPr>
          <w:strike/>
        </w:rPr>
        <w:t xml:space="preserve">[individual]</w:t>
      </w:r>
      <w:r>
        <w:t>))</w:t>
      </w:r>
      <w:r>
        <w:rPr/>
        <w:t xml:space="preserve"> </w:t>
      </w:r>
      <w:r>
        <w:rPr>
          <w:u w:val="single"/>
        </w:rPr>
        <w:t xml:space="preserve">individual</w:t>
      </w:r>
      <w:r>
        <w:rPr/>
        <w:t xml:space="preserve"> providers available to support a consumer with complex medical and behavioral needs or specific language needs;</w:t>
      </w:r>
    </w:p>
    <w:p>
      <w:pPr>
        <w:spacing w:before="0" w:after="0" w:line="408" w:lineRule="exact"/>
        <w:ind w:left="0" w:right="0" w:firstLine="576"/>
        <w:jc w:val="left"/>
      </w:pPr>
      <w:r>
        <w:rPr/>
        <w:t xml:space="preserve">(d) Emergencies that could pose a health and safety risk for consumers; and</w:t>
      </w:r>
    </w:p>
    <w:p>
      <w:pPr>
        <w:spacing w:before="0" w:after="0" w:line="408" w:lineRule="exact"/>
        <w:ind w:left="0" w:right="0" w:firstLine="576"/>
        <w:jc w:val="left"/>
      </w:pPr>
      <w:r>
        <w:rPr/>
        <w:t xml:space="preserve">(e) Instances where the cost of the allowed hour is less than other alternatives to provide care to a consumer, distinct from any increased risk of institutionalization.</w:t>
      </w:r>
    </w:p>
    <w:p>
      <w:pPr>
        <w:spacing w:before="0" w:after="0" w:line="408" w:lineRule="exact"/>
        <w:ind w:left="0" w:right="0" w:firstLine="576"/>
        <w:jc w:val="left"/>
      </w:pPr>
      <w:r>
        <w:rPr/>
        <w:t xml:space="preserve">(10)(a) Each fiscal year, the department shall establish a spending plan and a system to monitor the authorization and cost of hours in excess of forty hours each workweek from subsections (5)(b) and (9) of this section beginning July 1, 2016, and each fiscal year thereafter. Expenditures for hours in excess of forty hours each workweek under subsections (5)(b) and (9) of this section shall not exceed 8.75 percent of the total average authorized personal care hours for the fiscal year as projected by the caseload forecast council. The caseload forecast council may adopt a temporary adjustment to the 8.75 percent of the total average hours projection for that fiscal year, up to a maximum of 10.0 percent, if it finds a higher percentage of overtime hours is necessitated by a shortage of individual providers to provide adequate client care, taking into consideration factors including the criteria in subsection (9) of this section. If the council elects to temporarily increase the limit, it may do so only upon a majority vote of the council.</w:t>
      </w:r>
    </w:p>
    <w:p>
      <w:pPr>
        <w:spacing w:before="0" w:after="0" w:line="408" w:lineRule="exact"/>
        <w:ind w:left="0" w:right="0" w:firstLine="576"/>
        <w:jc w:val="left"/>
      </w:pPr>
      <w:r>
        <w:rPr/>
        <w:t xml:space="preserve">(b) The department also shall provide expenditure reports beginning September 1, 2016, and on a quarterly basis thereafter. If the department determines, based upon quarterly expenditure reports, that the annual expenditures will exceed the limitation established in (a) of this subsection, the department shall take those actions necessary to ensure compliance with the limitation.</w:t>
      </w:r>
    </w:p>
    <w:p>
      <w:pPr>
        <w:spacing w:before="0" w:after="0" w:line="408" w:lineRule="exact"/>
        <w:ind w:left="0" w:right="0" w:firstLine="576"/>
        <w:jc w:val="left"/>
      </w:pPr>
      <w:r>
        <w:rPr/>
        <w:t xml:space="preserve">(c) The spending plan and expenditure reports must be submitted to the legislative fiscal committees and the joint legislative-executive overtime oversight task force. The joint legislative-executive overtime oversight task force members are as follows:</w:t>
      </w:r>
    </w:p>
    <w:p>
      <w:pPr>
        <w:spacing w:before="0" w:after="0" w:line="408" w:lineRule="exact"/>
        <w:ind w:left="0" w:right="0" w:firstLine="576"/>
        <w:jc w:val="left"/>
      </w:pPr>
      <w:r>
        <w:rPr/>
        <w:t xml:space="preserve">(i) Two members from each of the two largest caucuses of the senate, appointed by the respective caucus leaders.</w:t>
      </w:r>
    </w:p>
    <w:p>
      <w:pPr>
        <w:spacing w:before="0" w:after="0" w:line="408" w:lineRule="exact"/>
        <w:ind w:left="0" w:right="0" w:firstLine="576"/>
        <w:jc w:val="left"/>
      </w:pPr>
      <w:r>
        <w:rPr/>
        <w:t xml:space="preserve">(ii)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(iii) The governor shall appoint members representing the department of social and health services and the office of financial management.</w:t>
      </w:r>
    </w:p>
    <w:p>
      <w:pPr>
        <w:spacing w:before="0" w:after="0" w:line="408" w:lineRule="exact"/>
        <w:ind w:left="0" w:right="0" w:firstLine="576"/>
        <w:jc w:val="left"/>
      </w:pPr>
      <w:r>
        <w:rPr/>
        <w:t xml:space="preserve">(iv) The governor shall appoint two members representing individual providers and two members representing consumers receiving personal care or respite care services from an individual provider.</w:t>
      </w:r>
    </w:p>
    <w:p>
      <w:pPr>
        <w:spacing w:before="0" w:after="0" w:line="408" w:lineRule="exact"/>
        <w:ind w:left="0" w:right="0" w:firstLine="576"/>
        <w:jc w:val="left"/>
      </w:pPr>
      <w:r>
        <w:rPr/>
        <w:t xml:space="preserve">(d) The task force shall meet at least annually, but may meet more frequently as desired by the task force. The task force shall choose cochairs, one from among the legislative members and one from among the executive branch members.</w:t>
      </w:r>
    </w:p>
    <w:p>
      <w:pPr>
        <w:spacing w:before="0" w:after="0" w:line="408" w:lineRule="exact"/>
        <w:ind w:left="0" w:right="0" w:firstLine="576"/>
        <w:jc w:val="left"/>
      </w:pPr>
      <w:r>
        <w:rPr/>
        <w:t xml:space="preserve">(e) The department is authorized to adopt rules, including emergency rules under RCW 34.05.350, to implement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July 6,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6897f33d7c00423d"/>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4f0e973ec1402c" /><Relationship Type="http://schemas.openxmlformats.org/officeDocument/2006/relationships/footer" Target="/word/footer.xml" Id="R6897f33d7c00423d" /></Relationships>
</file>