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3274a9219e4c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5826</w:t>
      </w:r>
    </w:p>
    <w:p>
      <w:pPr>
        <w:jc w:val="center"/>
        <w:spacing w:before="480" w:after="0" w:line="240"/>
      </w:pPr>
      <w:r>
        <w:t xml:space="preserve">Chapter </w:t>
      </w:r>
      <w:r>
        <w:rPr/>
        <w:t xml:space="preserve">127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VETERAN AND NATIONAL GUARD TUITION WAIVERS--ELIGIBILITY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5826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11:04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5826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Hobbs, Zeiger, O'Ban, Conway, Fain, Keiser, Hunt, and Saldaña</w:t>
      </w:r>
    </w:p>
    <w:p/>
    <w:p>
      <w:r>
        <w:rPr>
          <w:t xml:space="preserve">Read first time 02/16/17.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veteran or national guard tuition waivers;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2015 c 55 s 222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w:t>
      </w:r>
      <w:r>
        <w:t>((</w:t>
      </w:r>
      <w:r>
        <w:rPr>
          <w:strike/>
        </w:rPr>
        <w:t xml:space="preserve">in another location</w:t>
      </w:r>
      <w:r>
        <w:t>))</w:t>
      </w:r>
      <w:r>
        <w:rPr/>
        <w:t xml:space="preserve">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a7cc927e74e9462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933fa3821d4462" /><Relationship Type="http://schemas.openxmlformats.org/officeDocument/2006/relationships/footer" Target="/word/footer.xml" Id="Ra7cc927e74e94627" /></Relationships>
</file>