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adf94b2ce040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5746</w:t>
      </w:r>
    </w:p>
    <w:p>
      <w:pPr>
        <w:jc w:val="center"/>
        <w:spacing w:before="480" w:after="0" w:line="240"/>
      </w:pPr>
      <w:r>
        <w:t xml:space="preserve">Chapter </w:t>
      </w:r>
      <w:r>
        <w:rPr/>
        <w:t xml:space="preserve">67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ASSOCIATION OF WASHINGTON GENERALS--SPECIAL LICENSE PLATES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3 through 8, which become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92</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5746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11:18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Kuderer and Pearson; by request of Lieutenant Governor)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association of Washington generals; amending RCW 43.15.030 and 46.68.430; reenacting and amending RCW 46.68.420, 46.17.220, and 46.18.200; adding a new section to chapter 43.15 RCW; adding a new section to chapter 46.04 RCW; repealing RCW 46.04.062 and 46.18.215;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sports,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w:t>
      </w:r>
      <w:r>
        <w:t>((</w:t>
      </w:r>
      <w:r>
        <w:rPr>
          <w:strike/>
        </w:rPr>
        <w:t xml:space="preserve">Operating a statewide essay competition;</w:t>
      </w:r>
    </w:p>
    <w:p>
      <w:pPr>
        <w:spacing w:before="0" w:after="0" w:line="408" w:lineRule="exact"/>
        <w:ind w:left="0" w:right="0" w:firstLine="576"/>
        <w:jc w:val="left"/>
      </w:pPr>
      <w:r>
        <w:rPr>
          <w:strike/>
        </w:rPr>
        <w:t xml:space="preserve">(c)</w:t>
      </w:r>
      <w:r>
        <w:t>))</w:t>
      </w:r>
      <w:r>
        <w:rPr/>
        <w:t xml:space="preserve"> Training Washington generals as ambassadors of the state of Washington, nationally and internationally;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and the secretary of state, who serve as ex officio, nonvoting members, and other officers and members as the association of Washington generals designates. </w:t>
      </w:r>
    </w:p>
    <w:p>
      <w:pPr>
        <w:spacing w:before="0" w:after="0" w:line="408" w:lineRule="exact"/>
        <w:ind w:left="0" w:right="0" w:firstLine="576"/>
        <w:jc w:val="left"/>
      </w:pPr>
      <w:r>
        <w:rPr>
          <w:u w:val="single"/>
        </w:rPr>
        <w:t xml:space="preserve">(5)</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w:t>
      </w:r>
      <w:r>
        <w:t>((</w:t>
      </w:r>
      <w:r>
        <w:rPr>
          <w:strike/>
        </w:rPr>
        <w:t xml:space="preserve">and</w:t>
      </w:r>
      <w:r>
        <w:t>))</w:t>
      </w:r>
    </w:p>
    <w:p>
      <w:pPr>
        <w:spacing w:before="0" w:after="0" w:line="408" w:lineRule="exact"/>
        <w:ind w:left="0" w:right="0" w:firstLine="576"/>
        <w:jc w:val="left"/>
      </w:pPr>
      <w:r>
        <w:rPr/>
        <w:t xml:space="preserve">(b) Establish the title of honorary Washington general to honor worthy individuals from outside the state of Washington</w:t>
      </w:r>
      <w:r>
        <w:rPr>
          <w:u w:val="single"/>
        </w:rPr>
        <w:t xml:space="preserve">; and</w:t>
      </w:r>
    </w:p>
    <w:p>
      <w:pPr>
        <w:spacing w:before="0" w:after="0" w:line="408" w:lineRule="exact"/>
        <w:ind w:left="0" w:right="0" w:firstLine="576"/>
        <w:jc w:val="left"/>
      </w:pPr>
      <w:r>
        <w:rPr>
          <w:u w:val="single"/>
        </w:rPr>
        <w:t xml:space="preserve">(c) Adopt bylaws and establish governance and transparency policies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lieutenant governor's office may provide technical and financial assistance for the association of Washington generals</w:t>
      </w:r>
      <w:r>
        <w:rPr>
          <w:u w:val="single"/>
        </w:rPr>
        <w:t xml:space="preserve">, where the work of the association aligns with the mission of the office. Assistance from the lieutenant governor's office may include, but is not limited to:</w:t>
      </w:r>
    </w:p>
    <w:p>
      <w:pPr>
        <w:spacing w:before="0" w:after="0" w:line="408" w:lineRule="exact"/>
        <w:ind w:left="0" w:right="0" w:firstLine="576"/>
        <w:jc w:val="left"/>
      </w:pPr>
      <w:r>
        <w:rPr>
          <w:u w:val="single"/>
        </w:rPr>
        <w:t xml:space="preserve">(a) Collaboration with the association of Washington generals on the Washington world fellows program, a college readiness and study abroad fellowship administered by the office of the lieutenant governor;</w:t>
      </w:r>
    </w:p>
    <w:p>
      <w:pPr>
        <w:spacing w:before="0" w:after="0" w:line="408" w:lineRule="exact"/>
        <w:ind w:left="0" w:right="0" w:firstLine="576"/>
        <w:jc w:val="left"/>
      </w:pPr>
      <w:r>
        <w:rPr>
          <w:u w:val="single"/>
        </w:rPr>
        <w:t xml:space="preserve">(b) </w:t>
      </w:r>
      <w:r>
        <w:rPr>
          <w:u w:val="single"/>
        </w:rPr>
        <w:t xml:space="preserve">Beginning January 1, 2019, collaboration with the association of Washington generals to administer the sports mentoring program as established under section 3 of this act, a mentoring program to encourage underserved youth to join sports or otherwise participate in the area of sports; and</w:t>
      </w:r>
    </w:p>
    <w:p>
      <w:pPr>
        <w:spacing w:before="0" w:after="0" w:line="408" w:lineRule="exact"/>
        <w:ind w:left="0" w:right="0" w:firstLine="576"/>
        <w:jc w:val="left"/>
      </w:pPr>
      <w:r>
        <w:rPr>
          <w:u w:val="single"/>
        </w:rPr>
        <w:t xml:space="preserve">(c)</w:t>
      </w:r>
      <w:r>
        <w:rPr>
          <w:u w:val="single"/>
        </w:rPr>
        <w:t xml:space="preserve"> The compilation of a yearly financial report, which shall be made available to the legislature no later than January 15th of each year, detailing all revenues and expenditures associated with the Washington world fellows program and the sports mentoring program. Any expenditures made by the association of Washington generals in support of the Washington world fellows program and the sports mentoring program shall be made available to the office of the lieutenant governor for the purpose of inclusion in the annual financial report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may make appropriations in support of the Washington generals subject to the availability of funds.</w:t>
      </w:r>
    </w:p>
    <w:p>
      <w:pPr>
        <w:spacing w:before="0" w:after="0" w:line="408" w:lineRule="exact"/>
        <w:ind w:left="0" w:right="0" w:firstLine="576"/>
        <w:jc w:val="left"/>
      </w:pPr>
      <w:r>
        <w:rPr>
          <w:u w:val="single"/>
        </w:rPr>
        <w:t xml:space="preserve">(8) The office of the lieutenant governor must post on its web site detailed information on all funds received by the association of Washington generals and all expenditures by the association of Washington generals.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sports mentoring program and to support the Washington world fellows program in the following manner: (a) Seventy-five percent to the office of the lieutenant governor solely to administer the sports mentoring program established under section 3 of this act,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w:t>
            </w:r>
            <w:r>
              <w:rPr>
                <w:rFonts w:ascii="Times New Roman" w:hAnsi="Times New Roman"/>
                <w:sz w:val="16"/>
                <w:u w:val="single"/>
              </w:rPr>
              <w:t xml:space="preserve">and to support the Washington world fellows program in the following manner: (a) Seventy-five percent, to InvestED,</w:t>
            </w:r>
            <w:r>
              <w:rPr>
                <w:rFonts w:ascii="Times New Roman" w:hAnsi="Times New Roman"/>
                <w:sz w:val="16"/>
              </w:rPr>
              <w:t xml:space="preserve"> to encourage secondary students who have economic needs to stay in school, return to school, or get involved within their learning community</w:t>
            </w:r>
            <w:r>
              <w:rPr>
                <w:rFonts w:ascii="Times New Roman" w:hAnsi="Times New Roman"/>
                <w:sz w:val="16"/>
                <w:u w:val="single"/>
              </w:rPr>
              <w:t xml:space="preserve">; and (b) twenty-five percent to the office of the lieutenant governor solely to administer the Washington world fellows program, including the provision of fellowships</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w:t>
      </w:r>
      <w:r>
        <w:rPr>
          <w:u w:val="single"/>
        </w:rPr>
        <w:t xml:space="preserve">Except as otherwise provided in this section, o</w:t>
      </w:r>
      <w:r>
        <w:rPr/>
        <w:t xml:space="preserve">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w:t>
      </w:r>
      <w:r>
        <w:rPr>
          <w:u w:val="single"/>
        </w:rPr>
        <w:t xml:space="preserve">Except as otherwise provided in this section, f</w:t>
      </w:r>
      <w:r>
        <w:rPr/>
        <w:t xml:space="preserve">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w:t>
      </w:r>
      <w:r>
        <w:rPr>
          <w:u w:val="single"/>
        </w:rPr>
        <w:t xml:space="preserve">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u w:val="single"/>
        </w:rPr>
        <w:t xml:space="preserve">(6) </w:t>
      </w:r>
      <w:r>
        <w:rPr>
          <w:u w:val="single"/>
        </w:rPr>
        <w:t xml:space="preserve">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u w:val="single"/>
        </w:rPr>
        <w:t xml:space="preserve">(7)</w:t>
      </w:r>
      <w:r>
        <w:rPr/>
        <w:t xml:space="preserve">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sports mentoring program is established to enable eligible nonprofit community-based organizations to provide opportunities for underserved youth to join sports teams or otherwise participate in the area of sports. The goal of the program is to support youth in building self-confidence, developing skills in the areas of goal setting and collaboration, and promoting a healthy lifestyle through forming positive relationships with peers and family, avoiding risky or delinquent behavior, and achieving educational success. Proceeds from the Seattle Mariners special license plate, issued under RCW 46.18.200, must be deposited into the Seattle Mariners account in accordance with RCW 46.68.420. Funds in the account may only be used, except as provided under RCW 46.68.420(6), for grants to support youth to stay in school, participate in sports, and receive mentorships.</w:t>
      </w:r>
    </w:p>
    <w:p>
      <w:pPr>
        <w:spacing w:before="0" w:after="0" w:line="408" w:lineRule="exact"/>
        <w:ind w:left="0" w:right="0" w:firstLine="576"/>
        <w:jc w:val="left"/>
      </w:pPr>
      <w:r>
        <w:rPr/>
        <w:t xml:space="preserve">(2) The office of lieutenant governor will collaborate with the association of Washington generals to issue competitive grants to eligible organizations. The following criteria must be used to prioritize applications:</w:t>
      </w:r>
    </w:p>
    <w:p>
      <w:pPr>
        <w:spacing w:before="0" w:after="0" w:line="408" w:lineRule="exact"/>
        <w:ind w:left="0" w:right="0" w:firstLine="576"/>
        <w:jc w:val="left"/>
      </w:pPr>
      <w:r>
        <w:rPr/>
        <w:t xml:space="preserve">(a) Services provided by the organization to program participants are provided without a fee;</w:t>
      </w:r>
    </w:p>
    <w:p>
      <w:pPr>
        <w:spacing w:before="0" w:after="0" w:line="408" w:lineRule="exact"/>
        <w:ind w:left="0" w:right="0" w:firstLine="576"/>
        <w:jc w:val="left"/>
      </w:pPr>
      <w:r>
        <w:rPr/>
        <w:t xml:space="preserve">(b) Eligible organizations must assist children with enrolling in sports through their parents, guardians, or coach; and</w:t>
      </w:r>
    </w:p>
    <w:p>
      <w:pPr>
        <w:spacing w:before="0" w:after="0" w:line="408" w:lineRule="exact"/>
        <w:ind w:left="0" w:right="0" w:firstLine="576"/>
        <w:jc w:val="left"/>
      </w:pPr>
      <w:r>
        <w:rPr/>
        <w:t xml:space="preserve">(c) Eligible organizations must provide professional staff support to the mentor, child, and parent.</w:t>
      </w:r>
    </w:p>
    <w:p>
      <w:pPr>
        <w:spacing w:before="0" w:after="0" w:line="408" w:lineRule="exact"/>
        <w:ind w:left="0" w:right="0" w:firstLine="576"/>
        <w:jc w:val="left"/>
      </w:pPr>
      <w:r>
        <w:rPr/>
        <w:t xml:space="preserve">(3) Eligible organizations must meet the following requirements:</w:t>
      </w:r>
    </w:p>
    <w:p>
      <w:pPr>
        <w:spacing w:before="0" w:after="0" w:line="408" w:lineRule="exact"/>
        <w:ind w:left="0" w:right="0" w:firstLine="576"/>
        <w:jc w:val="left"/>
      </w:pPr>
      <w:r>
        <w:rPr/>
        <w:t xml:space="preserve">(a) Be a 501(c)(3) nonprofit organization;</w:t>
      </w:r>
    </w:p>
    <w:p>
      <w:pPr>
        <w:spacing w:before="0" w:after="0" w:line="408" w:lineRule="exact"/>
        <w:ind w:left="0" w:right="0" w:firstLine="576"/>
        <w:jc w:val="left"/>
      </w:pPr>
      <w:r>
        <w:rPr/>
        <w:t xml:space="preserve">(b) Conduct national criminal background checks for all employees and volunteer mentors who work with children;</w:t>
      </w:r>
    </w:p>
    <w:p>
      <w:pPr>
        <w:spacing w:before="0" w:after="0" w:line="408" w:lineRule="exact"/>
        <w:ind w:left="0" w:right="0" w:firstLine="576"/>
        <w:jc w:val="left"/>
      </w:pPr>
      <w:r>
        <w:rPr/>
        <w:t xml:space="preserve">(c) Have adopted standards for care including staff training, health and safety standards, and mechanisms for assessing and enforcing the program's compliance with the standards adopted;</w:t>
      </w:r>
    </w:p>
    <w:p>
      <w:pPr>
        <w:spacing w:before="0" w:after="0" w:line="408" w:lineRule="exact"/>
        <w:ind w:left="0" w:right="0" w:firstLine="576"/>
        <w:jc w:val="left"/>
      </w:pPr>
      <w:r>
        <w:rPr/>
        <w:t xml:space="preserve">(d) Ensure that sixty percent or more of the children they serve are eligible for free or reduced-price lunch;</w:t>
      </w:r>
    </w:p>
    <w:p>
      <w:pPr>
        <w:spacing w:before="0" w:after="0" w:line="408" w:lineRule="exact"/>
        <w:ind w:left="0" w:right="0" w:firstLine="576"/>
        <w:jc w:val="left"/>
      </w:pPr>
      <w:r>
        <w:rPr/>
        <w:t xml:space="preserve">(e) Provide free, direct services to children through volunteer mentoring; and</w:t>
      </w:r>
    </w:p>
    <w:p>
      <w:pPr>
        <w:spacing w:before="0" w:after="0" w:line="408" w:lineRule="exact"/>
        <w:ind w:left="0" w:right="0" w:firstLine="576"/>
        <w:jc w:val="left"/>
      </w:pPr>
      <w:r>
        <w:rPr/>
        <w:t xml:space="preserve">(f) Provide professional oversight of all mentoring relationships for each child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t>((</w:t>
      </w:r>
      <w:r>
        <w:rPr>
          <w:strike/>
        </w:rPr>
        <w:t xml:space="preserve">(1)</w:t>
      </w:r>
      <w:r>
        <w:t>))</w:t>
      </w:r>
      <w:r>
        <w:rPr/>
        <w:t xml:space="preserve">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w:t>
            </w:r>
            <w:r>
              <w:t>))</w:t>
            </w:r>
            <w:r>
              <w:rPr>
                <w:rFonts w:ascii="Times New Roman" w:hAnsi="Times New Roman"/>
                <w:sz w:val="16"/>
              </w:rPr>
              <w:t xml:space="preserve"> </w:t>
            </w:r>
            <w:r>
              <w:rPr>
                <w:rFonts w:ascii="Times New Roman" w:hAnsi="Times New Roman"/>
                <w:sz w:val="16"/>
                <w:u w:val="single"/>
              </w:rPr>
              <w:t xml:space="preserve">(1)</w:t>
            </w:r>
            <w:r>
              <w:rPr>
                <w:rFonts w:ascii="Times New Roman" w:hAnsi="Times New Roman"/>
                <w:sz w:val="16"/>
              </w:rPr>
              <w:t xml:space="preserve">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w:t>
            </w:r>
            <w:r>
              <w:t>))</w:t>
            </w:r>
            <w:r>
              <w:rPr>
                <w:rFonts w:ascii="Times New Roman" w:hAnsi="Times New Roman"/>
                <w:sz w:val="16"/>
              </w:rPr>
              <w:t xml:space="preserve"> </w:t>
            </w:r>
            <w:r>
              <w:rPr>
                <w:rFonts w:ascii="Times New Roman" w:hAnsi="Times New Roman"/>
                <w:sz w:val="16"/>
                <w:u w:val="single"/>
              </w:rPr>
              <w:t xml:space="preserve">(2)</w:t>
            </w:r>
            <w:r>
              <w:rPr>
                <w:rFonts w:ascii="Times New Roman" w:hAnsi="Times New Roman"/>
                <w:sz w:val="16"/>
              </w:rPr>
              <w:t xml:space="preserve">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w:t>
            </w:r>
            <w:r>
              <w:t>))</w:t>
            </w:r>
            <w:r>
              <w:rPr>
                <w:rFonts w:ascii="Times New Roman" w:hAnsi="Times New Roman"/>
                <w:sz w:val="16"/>
              </w:rPr>
              <w:t xml:space="preserve"> </w:t>
            </w:r>
            <w:r>
              <w:rPr>
                <w:rFonts w:ascii="Times New Roman" w:hAnsi="Times New Roman"/>
                <w:sz w:val="16"/>
                <w:u w:val="single"/>
              </w:rPr>
              <w:t xml:space="preserve">(3)</w:t>
            </w:r>
            <w:r>
              <w:rPr>
                <w:rFonts w:ascii="Times New Roman" w:hAnsi="Times New Roman"/>
                <w:sz w:val="16"/>
              </w:rPr>
              <w:t xml:space="preserve">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trike/>
                <w:sz w:val="16"/>
              </w:rPr>
              <w:t xml:space="preserve">(e)</w:t>
            </w:r>
            <w:r>
              <w:t>))</w:t>
            </w:r>
            <w:r>
              <w:rPr>
                <w:rFonts w:ascii="Times New Roman" w:hAnsi="Times New Roman"/>
                <w:sz w:val="16"/>
              </w:rPr>
              <w:t xml:space="preserve"> </w:t>
            </w:r>
            <w:r>
              <w:rPr>
                <w:rFonts w:ascii="Times New Roman" w:hAnsi="Times New Roman"/>
                <w:sz w:val="16"/>
                <w:u w:val="single"/>
              </w:rPr>
              <w:t xml:space="preserve">(4)</w:t>
            </w:r>
            <w:r>
              <w:rPr>
                <w:rFonts w:ascii="Times New Roman" w:hAnsi="Times New Roman"/>
                <w:sz w:val="16"/>
              </w:rPr>
              <w:t xml:space="preserv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(5)</w:t>
            </w:r>
            <w:r>
              <w:rPr>
                <w:rFonts w:ascii="Times New Roman" w:hAnsi="Times New Roman"/>
                <w:sz w:val="16"/>
              </w:rPr>
              <w:t xml:space="preserve">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(6)</w:t>
            </w:r>
            <w:r>
              <w:rPr>
                <w:rFonts w:ascii="Times New Roman" w:hAnsi="Times New Roman"/>
                <w:sz w:val="16"/>
              </w:rPr>
              <w:t xml:space="preserve">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(7)</w:t>
            </w:r>
            <w:r>
              <w:rPr>
                <w:rFonts w:ascii="Times New Roman" w:hAnsi="Times New Roman"/>
                <w:sz w:val="16"/>
              </w:rPr>
              <w:t xml:space="preserve">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(8)</w:t>
            </w:r>
            <w:r>
              <w:rPr>
                <w:rFonts w:ascii="Times New Roman" w:hAnsi="Times New Roman"/>
                <w:sz w:val="16"/>
              </w:rPr>
              <w:t xml:space="preserve">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(9)</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(10)</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(11)</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(12)</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(13)</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(14)</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(15)</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(17) 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(19) Seattle Mariners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(kk)</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(ll)</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t>((</w:t>
      </w:r>
      <w:r>
        <w:rPr>
          <w:strike/>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2017 c 25 s 1 and 2017 c 11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"Seattle Mariners"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t>((</w:t>
            </w:r>
            <w:r>
              <w:rPr>
                <w:rFonts w:ascii="Times New Roman" w:hAnsi="Times New Roman"/>
                <w:strike/>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trike/>
                <w:sz w:val="16"/>
              </w:rPr>
              <w:t xml:space="preserve">Recognizes Washington's fish.</w:t>
            </w:r>
            <w:r>
              <w:t>))</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430</w:t>
      </w:r>
      <w:r>
        <w:rPr/>
        <w:t xml:space="preserve"> and 2010 c 161 s 811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plates fees established under RCW 46.17.220</w:t>
      </w:r>
      <w:r>
        <w:t>((</w:t>
      </w:r>
      <w:r>
        <w:rPr>
          <w:strike/>
        </w:rPr>
        <w:t xml:space="preserve">(1) (c) and (e)</w:t>
      </w:r>
      <w:r>
        <w:t>))</w:t>
      </w:r>
      <w:r>
        <w:rPr/>
        <w:t xml:space="preserve"> </w:t>
      </w:r>
      <w:r>
        <w:rPr>
          <w:u w:val="single"/>
        </w:rPr>
        <w:t xml:space="preserve">(6)</w:t>
      </w:r>
      <w:r>
        <w:rPr/>
        <w:t xml:space="preserve">;</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800"/>
        <w:gridCol w:w="1500"/>
        <w:gridCol w:w="1560"/>
      </w:tblGrid>
      <w:tr>
        <w:tc>
          <w:tcPr>
            <w:tcW w:w="180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500" w:type="dxa"/>
            <w:vAlign w:val="top"/>
          </w:tcPr>
          <w:p>
            <w:pPr>
              <w:spacing w:before="0" w:after="0" w:line="408" w:lineRule="exact"/>
              <w:ind w:left="0" w:right="0" w:firstLine="0"/>
              <w:jc w:val="left"/>
            </w:pPr>
            <w:r>
              <w:rPr>
                <w:rFonts w:ascii="Times New Roman" w:hAnsi="Times New Roman"/>
                <w:sz w:val="16"/>
              </w:rPr>
              <w:t xml:space="preserve">ACCOUNT</w:t>
            </w:r>
          </w:p>
        </w:tc>
        <w:tc>
          <w:tcPr>
            <w:tcW w:w="1560" w:type="dxa"/>
            <w:vAlign w:val="top"/>
          </w:tcPr>
          <w:p>
            <w:pPr>
              <w:spacing w:before="0" w:after="0" w:line="408" w:lineRule="exact"/>
              <w:ind w:left="0" w:right="0" w:firstLine="0"/>
              <w:jc w:val="left"/>
            </w:pPr>
            <w:r>
              <w:rPr>
                <w:rFonts w:ascii="Times New Roman" w:hAnsi="Times New Roman"/>
                <w:sz w:val="16"/>
              </w:rPr>
              <w:t xml:space="preserve">PURPOSE</w:t>
            </w:r>
          </w:p>
        </w:tc>
      </w:tr>
      <w:tr>
        <w:tc>
          <w:tcPr>
            <w:tcW w:w="1800" w:type="dxa"/>
            <w:vAlign w:val="top"/>
          </w:tcPr>
          <w:p>
            <w:pPr>
              <w:spacing w:before="0" w:after="0" w:line="408" w:lineRule="exact"/>
              <w:ind w:left="0" w:right="0" w:firstLine="0"/>
              <w:jc w:val="left"/>
            </w:pPr>
            <w:r>
              <w:t>((</w:t>
            </w:r>
            <w:r>
              <w:rPr>
                <w:rFonts w:ascii="Times New Roman" w:hAnsi="Times New Roman"/>
                <w:strike/>
                <w:sz w:val="16"/>
              </w:rPr>
              <w:t xml:space="preserve">Baseball stadium</w:t>
            </w:r>
          </w:p>
        </w:tc>
        <w:tc>
          <w:tcPr>
            <w:tcW w:w="1500" w:type="dxa"/>
            <w:vAlign w:val="top"/>
          </w:tcPr>
          <w:p>
            <w:pPr>
              <w:spacing w:before="0" w:after="0" w:line="408" w:lineRule="exact"/>
              <w:ind w:left="0" w:right="0" w:firstLine="0"/>
              <w:jc w:val="left"/>
            </w:pPr>
            <w:r>
              <w:rPr>
                <w:rFonts w:ascii="Times New Roman" w:hAnsi="Times New Roman"/>
                <w:strike/>
                <w:sz w:val="16"/>
              </w:rPr>
              <w:t xml:space="preserve">A county</w:t>
            </w:r>
          </w:p>
        </w:tc>
        <w:tc>
          <w:tcPr>
            <w:tcW w:w="1560" w:type="dxa"/>
            <w:vAlign w:val="top"/>
          </w:tcPr>
          <w:p>
            <w:pPr>
              <w:spacing w:before="0" w:after="0" w:line="408" w:lineRule="exact"/>
              <w:ind w:left="0" w:right="0" w:firstLine="0"/>
              <w:jc w:val="left"/>
            </w:pPr>
            <w:r>
              <w:rPr>
                <w:rFonts w:ascii="Times New Roman" w:hAnsi="Times New Roman"/>
                <w:strike/>
                <w:sz w:val="16"/>
              </w:rPr>
              <w:t xml:space="preserve">To pay the principal and interest payments on bonds issued by the county to construct a baseball stadium, as defined in RCW 82.14.0485, including reasonably necessary preconstruction costs, while the taxes are being collected under RCW 82.14.360. After the principal and interest payments on bonds have been made, the state treasurer shall credit the funds to the state general fund.</w:t>
            </w:r>
            <w:r>
              <w:t>))</w:t>
            </w:r>
          </w:p>
        </w:tc>
      </w:tr>
      <w:tr>
        <w:tc>
          <w:tcPr>
            <w:tcW w:w="1800" w:type="dxa"/>
            <w:vAlign w:val="top"/>
          </w:tcPr>
          <w:p>
            <w:pPr>
              <w:spacing w:before="0" w:after="0" w:line="408" w:lineRule="exact"/>
              <w:ind w:left="0" w:right="0" w:firstLine="0"/>
              <w:jc w:val="left"/>
            </w:pPr>
            <w:r>
              <w:rPr>
                <w:rFonts w:ascii="Times New Roman" w:hAnsi="Times New Roman"/>
                <w:sz w:val="16"/>
              </w:rPr>
              <w:t xml:space="preserve">Collegiate</w:t>
            </w:r>
          </w:p>
        </w:tc>
        <w:tc>
          <w:tcPr>
            <w:tcW w:w="1500" w:type="dxa"/>
            <w:vAlign w:val="top"/>
          </w:tcPr>
          <w:p>
            <w:pPr>
              <w:spacing w:before="0" w:after="0" w:line="408" w:lineRule="exact"/>
              <w:ind w:left="0" w:right="0" w:firstLine="0"/>
              <w:jc w:val="left"/>
            </w:pPr>
            <w:r>
              <w:rPr>
                <w:rFonts w:ascii="Times New Roman" w:hAnsi="Times New Roman"/>
                <w:sz w:val="16"/>
              </w:rPr>
              <w:t xml:space="preserve">RCW 28B.10.890</w:t>
            </w:r>
          </w:p>
        </w:tc>
        <w:tc>
          <w:tcPr>
            <w:tcW w:w="1560" w:type="dxa"/>
            <w:vAlign w:val="top"/>
          </w:tcPr>
          <w:p>
            <w:pPr>
              <w:spacing w:before="0" w:after="0" w:line="408" w:lineRule="exact"/>
              <w:ind w:left="0" w:right="0" w:firstLine="0"/>
              <w:jc w:val="left"/>
            </w:pPr>
            <w:r>
              <w:rPr>
                <w:rFonts w:ascii="Times New Roman" w:hAnsi="Times New Roman"/>
                <w:sz w:val="16"/>
              </w:rPr>
              <w:t xml:space="preserve">Student scholarships</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"Seattle Mariners license plates" means special license plates issued under RCW 46.18.200 that display a symbol or artwork recognizing the Seattle Mariners.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04</w:t>
      </w:r>
      <w:r>
        <w:rPr/>
        <w:t xml:space="preserve">.</w:t>
      </w:r>
      <w:r>
        <w:t xml:space="preserve">062</w:t>
      </w:r>
      <w:r>
        <w:rPr/>
        <w:t xml:space="preserve"> (Baseball stadium license plate) and 2010 c 161 s 105; and</w:t>
      </w:r>
    </w:p>
    <w:p>
      <w:pPr>
        <w:spacing w:before="0" w:after="0" w:line="408" w:lineRule="exact"/>
        <w:ind w:left="0" w:right="0" w:firstLine="576"/>
        <w:jc w:val="left"/>
      </w:pPr>
      <w:r>
        <w:t>(2)</w:t>
      </w:r>
      <w:r>
        <w:rPr/>
        <w:t xml:space="preserve">RCW </w:t>
      </w:r>
      <w:r>
        <w:t xml:space="preserve">46</w:t>
      </w:r>
      <w:r>
        <w:rPr/>
        <w:t xml:space="preserve">.</w:t>
      </w:r>
      <w:r>
        <w:t xml:space="preserve">18</w:t>
      </w:r>
      <w:r>
        <w:rPr/>
        <w:t xml:space="preserve">.</w:t>
      </w:r>
      <w:r>
        <w:t xml:space="preserve">215</w:t>
      </w:r>
      <w:r>
        <w:rPr/>
        <w:t xml:space="preserve"> (Baseball stadium license plates) and 2011 c 332 s 3, 2010 c 161 s 614, 1997 c 291 s 5, 1995 3rd sp.s. c 1 s 102, 1994 c 194 s 2, &amp; 1990 c 250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8 of this act take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21fbf82e65ec473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994975ad348d9" /><Relationship Type="http://schemas.openxmlformats.org/officeDocument/2006/relationships/footer" Target="/word/footer.xml" Id="R21fbf82e65ec473f" /></Relationships>
</file>