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124364ce014d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5705</w:t>
      </w:r>
    </w:p>
    <w:p>
      <w:pPr>
        <w:jc w:val="center"/>
        <w:spacing w:before="480" w:after="0" w:line="240"/>
      </w:pPr>
      <w:r>
        <w:t xml:space="preserve">Chapter </w:t>
      </w:r>
      <w:r>
        <w:rPr/>
        <w:t xml:space="preserve">330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BEHAVIORAL HEALTH SERVICE PROVIDERS--LICENSING STANDARDS--INSPECTION AND REVIEW--TRANSFERS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11:41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5705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Becker, O'Ban, Rivers, Bailey, Miloscia, Schoesler, Warnick, Brown, Zeiger, and Honeyford)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inspection and review of state contracted behavioral health and recovery agencies; amending RCW 71.24.037;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finds that the department should not reduce the number of license violations found by field inspectors for the purpose of allowing licensed behavioral health service providers to avoid liability in a manner that permits the violating service provider to continue to provide care at the risk of public safety. The state also recognizes the need to prohibit fraudulent transfers of licenses between licensed behavioral health service providers found in violation of the terms of their license agreement and their family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2016 sp.s. c 29 s 505 are each amended to read as follows:</w:t>
      </w:r>
    </w:p>
    <w:p>
      <w:pPr>
        <w:spacing w:before="0" w:after="0" w:line="408" w:lineRule="exact"/>
        <w:ind w:left="0" w:right="0" w:firstLine="576"/>
        <w:jc w:val="left"/>
      </w:pPr>
      <w:r>
        <w:rPr/>
        <w:t xml:space="preserve">(1) The secretary shall by rule establish state minimum standards for licensed behavioral health service providers and services, whether those service providers and services are licensed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(9) The department periodically shall inspect licensed behavioral health service providers at reasonable times and in a reasonable manner.</w:t>
      </w:r>
    </w:p>
    <w:p>
      <w:pPr>
        <w:spacing w:before="0" w:after="0" w:line="408" w:lineRule="exact"/>
        <w:ind w:left="0" w:right="0" w:firstLine="576"/>
        <w:jc w:val="left"/>
      </w:pPr>
      <w:r>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(11) The department shall maintain and periodically publish a current list of licensed behavioral health service providers.</w:t>
      </w:r>
    </w:p>
    <w:p>
      <w:pPr>
        <w:spacing w:before="0" w:after="0" w:line="408" w:lineRule="exact"/>
        <w:ind w:left="0" w:right="0" w:firstLine="576"/>
        <w:jc w:val="left"/>
      </w:pPr>
      <w:r>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u w:val="single"/>
        </w:rPr>
        <w:t xml:space="preserve">(14) Any settlement agreement entered into between the department and licensed behavioral health service providers to resolve administrative complaints, license violations, license suspensions, or license revocations may not reduce the number of violations reported by the department unless the department concludes, based on evidence gathered by inspectors, that the licensed behavioral health service provider did not commit one or more of the violations.</w:t>
      </w:r>
    </w:p>
    <w:p>
      <w:pPr>
        <w:spacing w:before="0" w:after="0" w:line="408" w:lineRule="exact"/>
        <w:ind w:left="0" w:right="0" w:firstLine="576"/>
        <w:jc w:val="left"/>
      </w:pPr>
      <w:r>
        <w:rPr>
          <w:u w:val="single"/>
        </w:rPr>
        <w:t xml:space="preserve">(15) In cases in which a behavioral health service provider that is in violation of licensing standards attempts to transfer or sell the behavioral health service provider to a family member, the transfer or sale may only be made for the purpose of remedying license violations and achieving full compliance with the terms of the license. Transfers or sales to family members are prohibited in cases in which the purpose of the transfer or sale is to avoid liability or reset the number of license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issue a new license to the behavioral health service provider.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dac29455698348f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95ee09f154a86" /><Relationship Type="http://schemas.openxmlformats.org/officeDocument/2006/relationships/footer" Target="/word/footer.xml" Id="Rdac29455698348f5" /></Relationships>
</file>