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394bd44e444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5661</w:t>
      </w:r>
    </w:p>
    <w:p>
      <w:pPr>
        <w:jc w:val="center"/>
        <w:spacing w:before="480" w:after="0" w:line="240"/>
      </w:pPr>
      <w:r>
        <w:t xml:space="preserve">Chapter </w:t>
      </w:r>
      <w:r>
        <w:rPr/>
        <w:t xml:space="preserve">188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VETERANS--LEOFF 2--INTERUPTIVE SERVICE CREDIT--STUDY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5661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1:56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5661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Rolfes</w:t>
      </w:r>
    </w:p>
    <w:p/>
    <w:p>
      <w:r>
        <w:rPr>
          <w:t xml:space="preserve">Read first time 02/01/17.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interruptive service credit for members of the law enforcement officers' and firefighters' retirement system; and adding a new section to chapter 41.26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law enforcement officers' and firefighters' plan 2 retirement board shall study the requirement that members of plan 2 that are veterans make member contributions to the retirement plan for service credit in cases where the member left employment to serve during a specific conflict, but was not awarded a campaign badge or medal. The conflicts include: The crisis in Lebanon, the invasion of Grenada, Operation Just Cause in Panama, Operation Restore Hope in Somalia, Operation Uphold Democracy in Haiti, Operation Joint Endeavor in Bosnia, Operation Noble Eagle, Operation Enduring Freedom in Southern or Central Asia, and Operation Iraqi Freedom. The board shall work with the department of retirement systems and the military department to estimate the number of additional members that could become eligible for service credit without contributions, estimate the number of members that may be eligible for refunds if such a policy extended to past service credit purchases, and estimate the costs to the plan that would result from such policy changes. The board shall report the findings of the study to the appropriate committees of the legislature by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added to chapter 41.26 RCW, but because of its temporary nature, shall not be codified.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13348a2ac91c418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b5ce123683442a" /><Relationship Type="http://schemas.openxmlformats.org/officeDocument/2006/relationships/footer" Target="/word/footer.xml" Id="R13348a2ac91c418b" /></Relationships>
</file>