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5fcff96a804c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5647</w:t>
      </w:r>
    </w:p>
    <w:p>
      <w:pPr>
        <w:jc w:val="center"/>
        <w:spacing w:before="480" w:after="0" w:line="240"/>
      </w:pPr>
      <w:r>
        <w:t xml:space="preserve">Chapter </w:t>
      </w:r>
      <w:r>
        <w:rPr/>
        <w:t xml:space="preserve">285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LOW-INCOME HOME REHABILITATION REVOLVING LOAN PROGRAM</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2017</w:t>
            </w:r>
          </w:p>
          <w:p>
            <w:pPr>
              <w:ind w:left="0" w:right="0" w:firstLine="360"/>
            </w:pPr>
            <w:r>
              <w:t xml:space="preserve">Yeas </w:t>
              <w:t xml:space="preserve">95</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5647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11:40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5647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Honeyford, Takko, Schoesler, and Saldaña</w:t>
      </w:r>
    </w:p>
    <w:p/>
    <w:p>
      <w:r>
        <w:rPr>
          <w:t xml:space="preserve">Read first time 02/01/17.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low-income home rehabilitation revolving loan program; reenacting and amending RCW 43.79A.040;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two hundred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t xml:space="preserve">(f) The department must allow participating homeowners to defer repayment of the loan principal and interest and any fees related to the administration or issuance of the loan. Any amounts deferred pursuant to this section become a lien in favor of the state. The lien is subordinate to liens for general taxes, amounts deferred under chapter 84.37 or 84.38 RCW, or special assessments as defined in RCW 84.38.020. The lien is also subordinate to the first deed of trust or the first mortgage on the real property but has priority over all other privileges, liens, monetary encumbrances, or other security interests affecting the real property, whenever incurred, filed, or recorded. The department must take such necessary action to file and perfect the state's lien. All amounts due under the loan become due and payable upon the sale of the home or upon change in ownership of the home.</w:t>
      </w:r>
    </w:p>
    <w:p>
      <w:pPr>
        <w:spacing w:before="0" w:after="0" w:line="408" w:lineRule="exact"/>
        <w:ind w:left="0" w:right="0" w:firstLine="576"/>
        <w:jc w:val="left"/>
      </w:pPr>
      <w:r>
        <w:rPr/>
        <w:t xml:space="preserve">(3) All moneys from repayments must be deposited into the low-income home rehabilitation revolving loan program account created in section 4 of this act.</w:t>
      </w:r>
    </w:p>
    <w:p>
      <w:pPr>
        <w:spacing w:before="0" w:after="0" w:line="408" w:lineRule="exact"/>
        <w:ind w:left="0" w:right="0" w:firstLine="576"/>
        <w:jc w:val="left"/>
      </w:pPr>
      <w:r>
        <w:rPr/>
        <w:t xml:space="preserve">(4)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may charge participating homeowners an administrative fee of no more than seven percent of the home rehabilitation loan amount. The administrative fee must become a component of the total loan amount to be repaid by the participating homeowner.</w:t>
      </w:r>
    </w:p>
    <w:p>
      <w:pPr>
        <w:spacing w:before="0" w:after="0" w:line="408" w:lineRule="exact"/>
        <w:ind w:left="0" w:right="0" w:firstLine="576"/>
        <w:jc w:val="left"/>
      </w:pPr>
      <w:r>
        <w:rPr/>
        <w:t xml:space="preserve">(3) Any rehabilitation agency receiving funding under this section must report to the department at least quarterly, or in alignment with federal reporting, whichever is the greater frequency, the project costs and the number of homes repaired or rehabilitated. The director must review the accuracy of these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low-income home rehabilitation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w:t>
      </w:r>
      <w:r>
        <w:rPr>
          <w:u w:val="single"/>
        </w:rPr>
        <w:t xml:space="preserve">the low-income home rehabilitation revolving loan program account,</w:t>
      </w:r>
      <w:r>
        <w:rPr/>
        <w:t xml:space="preserve">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12,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7fcdcf3edb2f4d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5647.SL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25478b5194eb9" /><Relationship Type="http://schemas.openxmlformats.org/officeDocument/2006/relationships/footer" Target="/word/footer.xml" Id="R7fcdcf3edb2f4d6e" /></Relationships>
</file>