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a895cf085f47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5595</w:t>
      </w:r>
    </w:p>
    <w:p>
      <w:pPr>
        <w:jc w:val="center"/>
        <w:spacing w:before="480" w:after="0" w:line="240"/>
      </w:pPr>
      <w:r>
        <w:t xml:space="preserve">Chapter </w:t>
      </w:r>
      <w:r>
        <w:rPr/>
        <w:t xml:space="preserve">222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BEHAVIORAL HEALTH ORGANIZATIONS--STATE HOSPITAL REIMBURSEMENTS--QUARTERLY AVERAGE CENSUS METHOD</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5595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10:53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5595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Billig, O'Ban, Darneille, and Padden</w:t>
      </w:r>
    </w:p>
    <w:p/>
    <w:p>
      <w:r>
        <w:rPr>
          <w:t xml:space="preserve">Read first time 01/30/17.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the quarterly average census method for calculating state hospital reimbursements; and amending RCW 71.24.310.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department is encouraged to enter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w:t>
      </w:r>
      <w:r>
        <w:t>((</w:t>
      </w:r>
      <w:r>
        <w:rPr>
          <w:strike/>
        </w:rPr>
        <w:t xml:space="preserve">, except during the period of July 1, 2012, through December 31, 2013, where reimbursements may be temporarily altered per section 204, chapter 4, Laws of 2013 2nd sp. sess</w:t>
      </w:r>
      <w:r>
        <w:t>))</w:t>
      </w:r>
      <w:r>
        <w:rPr/>
        <w:t xml:space="preserve">. </w:t>
      </w:r>
      <w:r>
        <w:rPr>
          <w:u w:val="single"/>
        </w:rPr>
        <w:t xml:space="preserve">Reimbursements must be calculated using quarterly average census data to determine an average number of days used in excess of the bed allocation for the quarter.</w:t>
      </w:r>
      <w:r>
        <w:rPr/>
        <w:t xml:space="preserve">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fe2b43061a5340e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38039fa18e48b2" /><Relationship Type="http://schemas.openxmlformats.org/officeDocument/2006/relationships/footer" Target="/word/footer.xml" Id="Rfe2b43061a5340e2" /></Relationships>
</file>