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2c60d355f248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5493</w:t>
      </w:r>
    </w:p>
    <w:p>
      <w:pPr>
        <w:jc w:val="center"/>
        <w:spacing w:before="480" w:after="0" w:line="240"/>
      </w:pPr>
      <w:r>
        <w:t xml:space="preserve">Chapter </w:t>
      </w:r>
      <w:r>
        <w:rPr/>
        <w:t xml:space="preserve">248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PREVAILING RATE OF WAGE--COLLECTIVE BARGAINING AGREEMENTS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32</w:t>
            </w:r>
            <w:r>
              <w:t xml:space="preserve">  Nays </w:t>
              <w:t xml:space="preserve">15</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53</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5493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5493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Hasegawa, Keiser, Miloscia, Hobbs, Takko, Wellman, Chase, Darneille, Hunt, and Saldaña)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prevailing rate of wage based on collective bargaining agreements or other methods if collective bargaining agreements are not available; and amending RCW 39.12.015.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Notwithstanding RCW 39.12.010(1), the industrial statistician shall establish the prevailing rate of wage by adopting the hourly wage, usual benefits, and overtime paid for the geographic jurisdiction established in collective bargaining agreements for those trades and occupations that have collective bargaining agreements.</w:t>
      </w:r>
      <w:r>
        <w:rPr>
          <w:u w:val="single"/>
        </w:rPr>
        <w:t xml:space="preserve"> For trades and occupations with more than one collective bargaining agreement in the county, the higher rate will prevail.</w:t>
      </w:r>
    </w:p>
    <w:p>
      <w:pPr>
        <w:spacing w:before="0" w:after="0" w:line="408" w:lineRule="exact"/>
        <w:ind w:left="0" w:right="0" w:firstLine="576"/>
        <w:jc w:val="left"/>
      </w:pPr>
      <w:r>
        <w:rPr>
          <w:u w:val="single"/>
        </w:rPr>
        <w:t xml:space="preserve">(3) For trades and occupations in which there are no collective bargaining agreements in the county, the industrial statistician shall establish the prevailing rate of wage as defined in RCW 39.12.010 by conducting wage and hour surveys. In instances when there are no applicable collective bargaining agreements and conducting wage and hour surveys is not feasible, the industrial statistician may employ other appropriate methods to establish the prevailing rate of wage.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88c6a5dbb7f7490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530efa1291437d" /><Relationship Type="http://schemas.openxmlformats.org/officeDocument/2006/relationships/footer" Target="/word/footer.xml" Id="R88c6a5dbb7f74903" /></Relationships>
</file>