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d1bf0f019d4b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5472</w:t>
      </w:r>
    </w:p>
    <w:p>
      <w:pPr>
        <w:jc w:val="center"/>
        <w:spacing w:before="480" w:after="0" w:line="240"/>
      </w:pPr>
      <w:r>
        <w:t xml:space="preserve">Chapter </w:t>
      </w:r>
      <w:r>
        <w:rPr/>
        <w:t xml:space="preserve">327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BALLOT DROP BOXES--MINIMUM NUMBER</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52</w:t>
            </w:r>
            <w:r>
              <w:t xml:space="preserve">  Nays </w:t>
              <w:t xml:space="preserve">45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5472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11:36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5472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 Pearson)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ballot drop boxes in all communities; and amending RCW 29A.40.160.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2011 c 10 s 43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r>
        <w:rPr>
          <w:u w:val="single"/>
        </w:rPr>
        <w:t xml:space="preserve">, except that the county auditor must establish a minimum of one ballot drop box per fifteen thousand registered voters in the county and a minimum of one ballot drop box in each city, town, and census-designated place in the county with a post office</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0948289737d448b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8de700ed840a3" /><Relationship Type="http://schemas.openxmlformats.org/officeDocument/2006/relationships/footer" Target="/word/footer.xml" Id="R0948289737d448bf" /></Relationships>
</file>