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2da577ebf144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5436</w:t>
      </w:r>
    </w:p>
    <w:p>
      <w:pPr>
        <w:jc w:val="center"/>
        <w:spacing w:before="480" w:after="0" w:line="240"/>
      </w:pPr>
      <w:r>
        <w:t xml:space="preserve">Chapter </w:t>
      </w:r>
      <w:r>
        <w:rPr/>
        <w:t xml:space="preserve">219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TELEMEDICINE--ORIGINATING SITE--PATIENT DETERMINATION</w:t>
      </w:r>
    </w:p>
    <w:p>
      <w:pPr>
        <w:spacing w:before="720" w:after="240" w:line="240" w:lineRule="exact"/>
        <w:ind w:left="0" w:right="0" w:firstLine="576"/>
        <w:jc w:val="center"/>
      </w:pPr>
      <w:r>
        <w:t xml:space="preserve">EFFECTIVE DATE: </w:t>
      </w:r>
      <w:r>
        <w:rPr/>
        <w:t xml:space="preserve">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10:49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5436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Becker, Cleveland, Frockt, and Keiser</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by further defining where a patient may receive the service; amending RCW 48.43.735, 41.05.700, and 74.09.325;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2016 c 68 s 3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2016 c 68 s 4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2016 c 68 s 5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23, 2017.</w:t>
      </w:r>
    </w:p>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b904098683524bc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94b8a1b12843da" /><Relationship Type="http://schemas.openxmlformats.org/officeDocument/2006/relationships/footer" Target="/word/footer.xml" Id="Rb904098683524bca" /></Relationships>
</file>