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16a1bf45d4e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5413</w:t>
      </w:r>
    </w:p>
    <w:p>
      <w:pPr>
        <w:jc w:val="center"/>
        <w:spacing w:before="480" w:after="0" w:line="240"/>
      </w:pPr>
      <w:r>
        <w:t xml:space="preserve">Chapter </w:t>
      </w:r>
      <w:r>
        <w:rPr/>
        <w:t xml:space="preserve">45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PHYSICIAN LIMITED LICENSES--ELIGIBILITY FOR FULL LICENSURE--NOMINATION--RENEWAL</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11:45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5413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Cleveland, Bailey, and Kuderer; by request of Washington State Medical Commission</w:t>
      </w:r>
    </w:p>
    <w:p/>
    <w:p>
      <w:r>
        <w:rPr>
          <w:t xml:space="preserve">Read first time 01/24/17.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limited licenses;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at the University</w:t>
      </w:r>
      <w:r>
        <w:t>))</w:t>
      </w:r>
      <w:r>
        <w:rPr/>
        <w:t xml:space="preserve"> </w:t>
      </w:r>
      <w:r>
        <w:rPr>
          <w:u w:val="single"/>
        </w:rPr>
        <w:t xml:space="preserve">in the state</w:t>
      </w:r>
      <w:r>
        <w:rPr/>
        <w:t xml:space="preserv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w:t>
      </w:r>
      <w:r>
        <w:rPr>
          <w:u w:val="single"/>
        </w:rPr>
        <w:t xml:space="preserve">The holder of a teaching research license under this subsection (4)(a) is eligible for full licensure if the following conditions are met:</w:t>
      </w:r>
    </w:p>
    <w:p>
      <w:pPr>
        <w:spacing w:before="0" w:after="0" w:line="408" w:lineRule="exact"/>
        <w:ind w:left="0" w:right="0" w:firstLine="576"/>
        <w:jc w:val="left"/>
      </w:pPr>
      <w:r>
        <w:rPr>
          <w:u w:val="single"/>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u w:val="single"/>
        </w:rPr>
        <w:t xml:space="preserve">(ii) The applicant has successfully completed the exam requirements set forth by the commission by rule;</w:t>
      </w:r>
    </w:p>
    <w:p>
      <w:pPr>
        <w:spacing w:before="0" w:after="0" w:line="408" w:lineRule="exact"/>
        <w:ind w:left="0" w:right="0" w:firstLine="576"/>
        <w:jc w:val="left"/>
      </w:pPr>
      <w:r>
        <w:rPr>
          <w:u w:val="single"/>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u w:val="single"/>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u w:val="single"/>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of the University</w:t>
      </w:r>
      <w:r>
        <w:t>))</w:t>
      </w:r>
      <w:r>
        <w:rPr/>
        <w:t xml:space="preserve"> </w:t>
      </w:r>
      <w:r>
        <w:rPr>
          <w:u w:val="single"/>
        </w:rPr>
        <w:t xml:space="preserve">in the state</w:t>
      </w:r>
      <w:r>
        <w:rPr/>
        <w:t xml:space="preserv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w:t>
      </w:r>
      <w:r>
        <w:t>((</w:t>
      </w:r>
      <w:r>
        <w:rPr>
          <w:strike/>
        </w:rPr>
        <w:t xml:space="preserve">for no more than a total of two years</w:t>
      </w:r>
      <w:r>
        <w:t>))</w:t>
      </w:r>
      <w:r>
        <w:rPr/>
        <w:t xml:space="preserve">.</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04e305c8f9a7415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b85203b0ae4b8a" /><Relationship Type="http://schemas.openxmlformats.org/officeDocument/2006/relationships/footer" Target="/word/footer.xml" Id="R04e305c8f9a74154" /></Relationships>
</file>