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842e85d234a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5213</w:t>
      </w:r>
    </w:p>
    <w:p>
      <w:pPr>
        <w:jc w:val="center"/>
        <w:spacing w:before="480" w:after="0" w:line="240"/>
      </w:pPr>
      <w:r>
        <w:t xml:space="preserve">Chapter </w:t>
      </w:r>
      <w:r>
        <w:rPr/>
        <w:t xml:space="preserve">84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LIMITED LICENSE LEGAL TECHNICIANS--DOMESTIC VIOLENCE CASES--AWARD OF FEES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45</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5213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11:50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5213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Wilson and Zeiger</w:t>
      </w:r>
    </w:p>
    <w:p/>
    <w:p>
      <w:r>
        <w:rPr>
          <w:t xml:space="preserve">Read first time 01/17/17.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award of fees for limited license legal technicians in certain domestic violence cases; and amending RCW 26.50.060.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2010 c 274 s 304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w:t>
      </w:r>
      <w:r>
        <w:rPr>
          <w:u w:val="single"/>
        </w:rPr>
        <w:t xml:space="preserve">or limited license legal technician fees when such fees are incurred by a person licensed and practicing in accordance with the state supreme court's admission to practice rule 28, the limited practice rule for limited license legal technicians</w:t>
      </w:r>
      <w:r>
        <w:rPr/>
        <w:t xml:space="preserve">;</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and</w:t>
      </w:r>
    </w:p>
    <w:p>
      <w:pPr>
        <w:spacing w:before="0" w:after="0" w:line="408" w:lineRule="exact"/>
        <w:ind w:left="0" w:right="0" w:firstLine="576"/>
        <w:jc w:val="left"/>
      </w:pPr>
      <w:r>
        <w:rPr/>
        <w:t xml:space="preserve">(m) Order use of a vehicle.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or 26.26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or 26.26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c27e75cde204490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0fb25a7a614026" /><Relationship Type="http://schemas.openxmlformats.org/officeDocument/2006/relationships/footer" Target="/word/footer.xml" Id="Rc27e75cde2044903" /></Relationships>
</file>