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26c4c92dcf4f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5143</w:t>
      </w:r>
    </w:p>
    <w:p>
      <w:pPr>
        <w:jc w:val="center"/>
        <w:spacing w:before="480" w:after="0" w:line="240"/>
      </w:pPr>
      <w:r>
        <w:t xml:space="preserve">Chapter </w:t>
      </w:r>
      <w:r>
        <w:rPr/>
        <w:t xml:space="preserve">103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NONPROFIT HOMEOWNERSHIP DEVELOPMENT--PROPERTY TAXES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43</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80</w:t>
            </w:r>
            <w:r>
              <w:t xml:space="preserve">  Nays </w:t>
              <w:t xml:space="preserve">18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5143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2:17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5143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Zeiger, Rolfes, and Darneille)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exemption of property taxes for nonprofit homeownership development; amending RCW 84.36.049; amending 2016 c 217 s 1 (uncodified);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217 s 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encourage and expand the ability of nonprofit low-income housing developers to provide homeownership opportunities for low-income households. It is the legislature's intent to exempt from taxation real property owned by a nonprofit entity for the purpose of building residences to be sold</w:t>
      </w:r>
      <w:r>
        <w:rPr>
          <w:u w:val="single"/>
        </w:rPr>
        <w:t xml:space="preserve">, or, in the case of land, to be leased for life or ninety-nine years,</w:t>
      </w:r>
      <w:r>
        <w:rPr/>
        <w:t xml:space="preserve"> to low-income households in order to enhance the ability of nonprofit low-income housing developers to purchase and hold land for future affordable housing development.</w:t>
      </w:r>
    </w:p>
    <w:p>
      <w:pPr>
        <w:spacing w:before="0" w:after="0" w:line="408" w:lineRule="exact"/>
        <w:ind w:left="0" w:right="0" w:firstLine="576"/>
        <w:jc w:val="left"/>
      </w:pPr>
      <w:r>
        <w:rPr/>
        <w:t xml:space="preserve">(4)(a) To measure the effectiveness of the tax preference provided in section 2 of this act in achieving the specific public policy objectives described in subsection (3) of this section, the joint legislative audit and review committee must evaluate, two years prior to the expiration of the tax preference: (i) The annual growth in the percentage of revenues dedicated to the development of affordable housing, for each nonprofit claiming the preference, for the period that the preference has been claimed; and (ii) the annual changes in both the total number of parcels qualifying for the exemption and the total number of parcels for which owner occupancy notifications have been submitted to the department of revenue, from June 9, 2016, through the most recent year of available data prior to the committee's review.</w:t>
      </w:r>
    </w:p>
    <w:p>
      <w:pPr>
        <w:spacing w:before="0" w:after="0" w:line="408" w:lineRule="exact"/>
        <w:ind w:left="0" w:right="0" w:firstLine="576"/>
        <w:jc w:val="left"/>
      </w:pPr>
      <w:r>
        <w:rPr/>
        <w:t xml:space="preserve">(b) If the review by the joint legislative audit and review committee finds that for most of the nonprofits claiming the exemption, program spending, program expenses, or another ratio representing the percentage of the nonprofit entity's revenues dedicated to the development of affordable housing has increased for the period during which the exemption was claimed,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preference as approved by the department of revenue under RCW 84.36.815;</w:t>
      </w:r>
    </w:p>
    <w:p>
      <w:pPr>
        <w:spacing w:before="0" w:after="0" w:line="408" w:lineRule="exact"/>
        <w:ind w:left="0" w:right="0" w:firstLine="576"/>
        <w:jc w:val="left"/>
      </w:pPr>
      <w:r>
        <w:rPr/>
        <w:t xml:space="preserve">(b) Owner occupancy notices reported to the department of revenue under section 2 of this act;</w:t>
      </w:r>
    </w:p>
    <w:p>
      <w:pPr>
        <w:spacing w:before="0" w:after="0" w:line="408" w:lineRule="exact"/>
        <w:ind w:left="0" w:right="0" w:firstLine="576"/>
        <w:jc w:val="left"/>
      </w:pPr>
      <w:r>
        <w:rPr/>
        <w:t xml:space="preserve">(c) Annual financial statements for a nonprofit entity claiming this tax preference, as defined in section 2 of this act, and provided by nonprofit entities claiming this preference; and</w:t>
      </w:r>
    </w:p>
    <w:p>
      <w:pPr>
        <w:spacing w:before="0" w:after="0" w:line="408" w:lineRule="exact"/>
        <w:ind w:left="0" w:right="0" w:firstLine="576"/>
        <w:jc w:val="left"/>
      </w:pPr>
      <w:r>
        <w:rPr/>
        <w:t xml:space="preserve">(d) Any other data necessary for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049</w:t>
      </w:r>
      <w:r>
        <w:rPr/>
        <w:t xml:space="preserve"> and 2016 c 217 s 2 are each amended to read as follows:</w:t>
      </w:r>
    </w:p>
    <w:p>
      <w:pPr>
        <w:spacing w:before="0" w:after="0" w:line="408" w:lineRule="exact"/>
        <w:ind w:left="0" w:right="0" w:firstLine="576"/>
        <w:jc w:val="left"/>
      </w:pPr>
      <w:r>
        <w:rPr/>
        <w:t xml:space="preserve">(1) All real property owned by a nonprofit entity for the purpose of developing or redeveloping on the real property one or more residences to be sold to low-income households </w:t>
      </w:r>
      <w:r>
        <w:rPr>
          <w:u w:val="single"/>
        </w:rPr>
        <w:t xml:space="preserve">including land to be leased as provided in subsection (8)(d)(ii) of this section,</w:t>
      </w:r>
      <w:r>
        <w:rPr/>
        <w:t xml:space="preserve"> is exempt from state and local property taxes.</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transfers title to the </w:t>
      </w:r>
      <w:r>
        <w:t>((</w:t>
      </w:r>
      <w:r>
        <w:rPr>
          <w:strike/>
        </w:rPr>
        <w:t xml:space="preserve">real property</w:t>
      </w:r>
      <w:r>
        <w:t>))</w:t>
      </w:r>
      <w:r>
        <w:rPr/>
        <w:t xml:space="preserve"> </w:t>
      </w:r>
      <w:r>
        <w:rPr>
          <w:u w:val="single"/>
        </w:rPr>
        <w:t xml:space="preserve">single-family dwelling unit</w:t>
      </w:r>
      <w:r>
        <w:rPr/>
        <w:t xml:space="preserve">;</w:t>
      </w:r>
    </w:p>
    <w:p>
      <w:pPr>
        <w:spacing w:before="0" w:after="0" w:line="408" w:lineRule="exact"/>
        <w:ind w:left="0" w:right="0" w:firstLine="576"/>
        <w:jc w:val="left"/>
      </w:pPr>
      <w:r>
        <w:rPr/>
        <w:t xml:space="preserve">(b) </w:t>
      </w:r>
      <w:r>
        <w:rPr>
          <w:u w:val="single"/>
        </w:rPr>
        <w:t xml:space="preserve">The date on which the nonprofit entity executes a lease of land described in subsection (8)(d)(ii) of this section;</w:t>
      </w:r>
    </w:p>
    <w:p>
      <w:pPr>
        <w:spacing w:before="0" w:after="0" w:line="408" w:lineRule="exact"/>
        <w:ind w:left="0" w:right="0" w:firstLine="576"/>
        <w:jc w:val="left"/>
      </w:pPr>
      <w:r>
        <w:rPr>
          <w:u w:val="single"/>
        </w:rPr>
        <w:t xml:space="preserve">(c)</w:t>
      </w:r>
      <w:r>
        <w:rPr/>
        <w:t xml:space="preserve"> The end of the seventh consecutive property tax year for which the property is granted an exemption under this section or, if the nonprofit entity has claimed an extension under subsection (3) of this section, the end of the tenth consecutive property tax year for which the property is granted an exemption under this section;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property is no longer held for the purpose for which the exemption was granted.</w:t>
      </w:r>
    </w:p>
    <w:p>
      <w:pPr>
        <w:spacing w:before="0" w:after="0" w:line="408" w:lineRule="exact"/>
        <w:ind w:left="0" w:right="0" w:firstLine="576"/>
        <w:jc w:val="left"/>
      </w:pPr>
      <w:r>
        <w:rPr/>
        <w:t xml:space="preserve">(3) If the nonprofit entity believes that title to the </w:t>
      </w:r>
      <w:r>
        <w:t>((</w:t>
      </w:r>
      <w:r>
        <w:rPr>
          <w:strike/>
        </w:rPr>
        <w:t xml:space="preserve">real property</w:t>
      </w:r>
      <w:r>
        <w:t>))</w:t>
      </w:r>
      <w:r>
        <w:rPr/>
        <w:t xml:space="preserve"> </w:t>
      </w:r>
      <w:r>
        <w:rPr>
          <w:u w:val="single"/>
        </w:rPr>
        <w:t xml:space="preserve">single-family dwelling unit</w:t>
      </w:r>
      <w:r>
        <w:rPr/>
        <w:t xml:space="preserve"> will not be transferred by the end of the sixth consecutive property tax year, the nonprofit entity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rPr/>
        <w:t xml:space="preserve">(4)(a) If the nonprofit entity has not transferred title to the </w:t>
      </w:r>
      <w:r>
        <w:t>((</w:t>
      </w:r>
      <w:r>
        <w:rPr>
          <w:strike/>
        </w:rPr>
        <w:t xml:space="preserve">real property</w:t>
      </w:r>
      <w:r>
        <w:t>))</w:t>
      </w:r>
      <w:r>
        <w:rPr/>
        <w:t xml:space="preserve"> </w:t>
      </w:r>
      <w:r>
        <w:rPr>
          <w:u w:val="single"/>
        </w:rPr>
        <w:t xml:space="preserve">single-family dwelling unit</w:t>
      </w:r>
      <w:r>
        <w:rPr/>
        <w:t xml:space="preserve"> to a low-income household within the applicable period described in subsection (2)</w:t>
      </w:r>
      <w:r>
        <w:rPr>
          <w:u w:val="single"/>
        </w:rPr>
        <w:t xml:space="preserve">(c)</w:t>
      </w:r>
      <w:r>
        <w:rPr/>
        <w:t xml:space="preserve"> of this section, or if the nonprofit entity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thirty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sells or transfers real property subject to a lien for additional taxes under this subsection, such unpaid additional taxes must be paid by the nonprofit entity at the time of sale or transfer. The county auditor may not accept an instrument of conveyance unless the additional tax has been paid. The nonprofit entity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rPr/>
        <w:t xml:space="preserve">(5) Nonprofit entities receiving an exemption under this section must immediately notify the department when the exempt real property becomes occupied. The notice of occupancy made to the department must include a certification by the nonprofit entity that the occupants are a low-income household and a date when the title to the </w:t>
      </w:r>
      <w:r>
        <w:t>((</w:t>
      </w:r>
      <w:r>
        <w:rPr>
          <w:strike/>
        </w:rPr>
        <w:t xml:space="preserve">real property</w:t>
      </w:r>
      <w:r>
        <w:t>))</w:t>
      </w:r>
      <w:r>
        <w:rPr/>
        <w:t xml:space="preserve"> </w:t>
      </w:r>
      <w:r>
        <w:rPr>
          <w:u w:val="single"/>
        </w:rPr>
        <w:t xml:space="preserve">single-family dwelling unit</w:t>
      </w:r>
      <w:r>
        <w:rPr/>
        <w:t xml:space="preserve"> was or is anticipated to be transferred. The department of revenue must make the notices of occupancy available to the joint legislative audit and review committee, upon request by the committee, in order for the committee to complete its review of the tax preference in this section.</w:t>
      </w:r>
    </w:p>
    <w:p>
      <w:pPr>
        <w:spacing w:before="0" w:after="0" w:line="408" w:lineRule="exact"/>
        <w:ind w:left="0" w:right="0" w:firstLine="576"/>
        <w:jc w:val="left"/>
      </w:pPr>
      <w:r>
        <w:rPr/>
        <w:t xml:space="preserve">(6) Upon cessation of the exemption, the value of new construction and improvements to the property, not previously considered as new construction, must be considered as new construction for purposes of calculating levies under chapter 84.55 RCW. The assessed value of the property as it was valued prior to the beginning of the exemption may not be considered as new construction upon cessation of the exemption.</w:t>
      </w:r>
    </w:p>
    <w:p>
      <w:pPr>
        <w:spacing w:before="0" w:after="0" w:line="408" w:lineRule="exact"/>
        <w:ind w:left="0" w:right="0" w:firstLine="576"/>
        <w:jc w:val="left"/>
      </w:pPr>
      <w:r>
        <w:rPr/>
        <w:t xml:space="preserve">(7) Nonprofit entities receiving an exemption under this section must provide annual financial statements to the joint legislative audit and review committee, upon request by the committee, for the years that the exemption has been claimed. The nonprofit entity must identify the line or lines on the financial statements that comprise the percentage of revenues dedicated to the development of affordable housing.</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"Financial statements" means an audited annual financial statement and a completed United States treasury internal revenue service return form 990 for organizations exempt from income tax.</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(c)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(d) "Residence" means</w:t>
      </w:r>
      <w:r>
        <w:rPr>
          <w:u w:val="single"/>
        </w:rPr>
        <w:t xml:space="preserve">:</w:t>
      </w:r>
    </w:p>
    <w:p>
      <w:pPr>
        <w:spacing w:before="0" w:after="0" w:line="408" w:lineRule="exact"/>
        <w:ind w:left="0" w:right="0" w:firstLine="576"/>
        <w:jc w:val="left"/>
      </w:pPr>
      <w:r>
        <w:rPr>
          <w:u w:val="single"/>
        </w:rPr>
        <w:t xml:space="preserve">(i) A</w:t>
      </w:r>
      <w:r>
        <w:rPr/>
        <w:t xml:space="preserve"> single-family dwelling unit whether such unit be separate or part of a multiunit dwelling</w:t>
      </w:r>
      <w:r>
        <w:t>((</w:t>
      </w:r>
      <w:r>
        <w:rPr>
          <w:strike/>
        </w:rPr>
        <w:t xml:space="preserve">, including the land on which such dwelling stands</w:t>
      </w:r>
      <w:r>
        <w:t>))</w:t>
      </w:r>
      <w:r>
        <w:rPr>
          <w:u w:val="single"/>
        </w:rPr>
        <w:t xml:space="preserve">; and</w:t>
      </w:r>
    </w:p>
    <w:p>
      <w:pPr>
        <w:spacing w:before="0" w:after="0" w:line="408" w:lineRule="exact"/>
        <w:ind w:left="0" w:right="0" w:firstLine="576"/>
        <w:jc w:val="left"/>
      </w:pPr>
      <w:r>
        <w:rPr>
          <w:u w:val="single"/>
        </w:rPr>
        <w:t xml:space="preserve">(ii) The land on which a dwelling unit described in (d)(i) of this subsection (8) stands, whether to be sold, or to be leased for life or ninety-nine years, to the low-income household owning such dwelling unit</w:t>
      </w:r>
      <w:r>
        <w:rPr/>
        <w:t xml:space="preserve">.</w:t>
      </w:r>
    </w:p>
    <w:p>
      <w:pPr>
        <w:spacing w:before="0" w:after="0" w:line="408" w:lineRule="exact"/>
        <w:ind w:left="0" w:right="0" w:firstLine="576"/>
        <w:jc w:val="left"/>
      </w:pPr>
      <w:r>
        <w:rPr>
          <w:u w:val="single"/>
        </w:rPr>
        <w:t xml:space="preserve">(9) The department may not accept applications for the initial exemption in this section after December 31, 2027. The exemption in this section may not be approved for and does not apply to taxes due in 2038 and thereafter.</w:t>
      </w:r>
    </w:p>
    <w:p>
      <w:pPr>
        <w:spacing w:before="0" w:after="0" w:line="408" w:lineRule="exact"/>
        <w:ind w:left="0" w:right="0" w:firstLine="576"/>
        <w:jc w:val="left"/>
      </w:pPr>
      <w:r>
        <w:rPr>
          <w:u w:val="single"/>
        </w:rPr>
        <w:t xml:space="preserve">(10) This section expires January 1,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2019 and thereafter.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a61a734724b54b4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e8085f3db44660" /><Relationship Type="http://schemas.openxmlformats.org/officeDocument/2006/relationships/footer" Target="/word/footer.xml" Id="Ra61a734724b54b4c" /></Relationships>
</file>