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cb98d4cbfa43d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5118</w:t>
      </w:r>
    </w:p>
    <w:p>
      <w:pPr>
        <w:jc w:val="center"/>
        <w:spacing w:before="480" w:after="0" w:line="240"/>
      </w:pPr>
      <w:r>
        <w:t xml:space="preserve">Chapter </w:t>
      </w:r>
      <w:r>
        <w:rPr/>
        <w:t xml:space="preserve">270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MEDICAID--PERSONAL NEEDS ALLOWANCE</w:t>
      </w:r>
    </w:p>
    <w:p>
      <w:pPr>
        <w:spacing w:before="720" w:after="240" w:line="240" w:lineRule="exact"/>
        <w:ind w:left="0" w:right="0" w:firstLine="576"/>
        <w:jc w:val="left"/>
      </w:pPr>
      <w:r>
        <w:t xml:space="preserve">EFFECTIVE DATE: </w:t>
      </w:r>
      <w:r>
        <w:rPr/>
        <w:t xml:space="preserve">7/1/2017 -- Except for section 1, which becomes effective July 23,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96</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5118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10, 2017 11:15 AM</w:t>
            </w:r>
          </w:p>
        </w:tc>
        <w:tc>
          <w:tcPr>
            <w:tcW w:w="4560" w:type="dxa"/>
            <w:vAlign w:val="top"/>
          </w:tcPr>
          <w:p>
            <w:pPr>
              <w:jc w:val="center"/>
            </w:pPr>
            <w:r>
              <w:rPr>
                <w:t xml:space="preserve">FILED</w:t>
              </w:rPr>
            </w:r>
          </w:p>
          <w:p>
            <w:pPr>
              <w:jc w:val="center"/>
            </w:pPr>
            <w:r>
              <w:rPr>
                <w:rFonts w:ascii="Times New Roman" w:hAnsi="Times New Roman"/>
                <w:sz w:val="20"/>
              </w:rPr>
              <w:t xml:space="preserve">May 10,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5118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Rolfes, Bailey, Darneille, Billig, Keiser, Kuderer, and Chase</w:t>
      </w:r>
    </w:p>
    <w:p/>
    <w:p>
      <w:r>
        <w:rPr>
          <w:t xml:space="preserve">Read first time 01/13/17.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personal needs allowance for persons receiving state-financed care; adding a new section to chapter 74.09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through the medicaid program, state and federal government fund long-term care, mental health, and medical services for many elderly persons and people with disabilities, both in institutions and in community alternatives. The legislature also finds that a significant portion of these individuals' social security benefits is retained by the state to assist with the cost of their care. The legislature intends that these individuals retain for their own use a reasonable and modest personal needs allowance which may be used to purchase clothing, postage, barber services, travel, and other personal items not covered by their care setting, in order to promote their autonomy and personal dignity.</w:t>
      </w:r>
    </w:p>
    <w:p>
      <w:pPr>
        <w:spacing w:before="0" w:after="0" w:line="408" w:lineRule="exact"/>
        <w:ind w:left="0" w:right="0" w:firstLine="576"/>
        <w:jc w:val="left"/>
      </w:pPr>
      <w:r>
        <w:rPr/>
        <w:t xml:space="preserve">(2) It is the intent of the legislature to adjust the personal needs allowance annually to reflect cost-of-living adjustments to federal social security benefits for medicaid-eligible residents in institutions and community-based residential settings receiving long-term care, developmental disabilities, or mental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Effective July 1, 2017, and each fiscal year thereafter, subject to the availability of amounts appropriated for this specific purpose, the personal needs allowance shall be adjusted for economic trends and conditions by increasing the allowance by the percentage cost-of-living adjustment for old-age, survivors, and disability social security benefits as published by the federal social security administration. However, in no case shall the personal needs allowance exceed the maximum personal needs allowance permissible under the federal social security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July 1,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May 10, 2017.</w:t>
      </w:r>
    </w:p>
    <w:p>
      <w:pPr>
        <w:spacing w:before="0" w:after="0" w:line="408" w:lineRule="exact"/>
        <w:ind w:left="0" w:right="0" w:firstLine="576"/>
        <w:jc w:val="left"/>
      </w:pPr>
      <w:r>
        <w:rPr/>
        <w:t xml:space="preserve">Filed in Office of Secretary of State May 10, 2017.</w:t>
      </w:r>
    </w:p>
    <w:sectPr>
      <w:pgNumType w:start="1"/>
      <w:footerReference xmlns:r="http://schemas.openxmlformats.org/officeDocument/2006/relationships" r:id="R32c1a396b5da485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377afc9ad0413e" /><Relationship Type="http://schemas.openxmlformats.org/officeDocument/2006/relationships/footer" Target="/word/footer.xml" Id="R32c1a396b5da4854" /></Relationships>
</file>