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8ae035d10f4c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5037</w:t>
      </w:r>
    </w:p>
    <w:p>
      <w:pPr>
        <w:jc w:val="center"/>
        <w:spacing w:before="480" w:after="0" w:line="240"/>
      </w:pPr>
      <w:r>
        <w:t xml:space="preserve">Chapter </w:t>
      </w:r>
      <w:r>
        <w:rPr/>
        <w:t xml:space="preserve">335</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Regular Session</w:t>
      </w:r>
    </w:p>
    <w:p>
      <w:pPr>
        <w:jc w:val="center"/>
        <w:spacing w:before="480" w:after="0" w:line="240"/>
      </w:pPr>
      <w:r>
        <w:rPr/>
        <w:t xml:space="preserve">DRIVING UNDER THE INFLUENCE--FOURTH OFFENSE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41</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85</w:t>
            </w:r>
            <w:r>
              <w:t xml:space="preserve">  Nays </w:t>
              <w:t xml:space="preserve">11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3:46 PM with the exception of Section 5,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May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Padden, Frockt, O'Ban, Darneille, Miloscia, Kuderer, Zeiger, Carlyle, Pearson, Conway, Rolfes, Palumbo, Angel, and Wellman</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fourth driving under the influence offense a felony; amending RCW 46.61.502, 46.61.504, and 46.61.5054; reenacting and amending RCW 46.61.5055 and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2016 c 87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23, 2017.</w:t>
      </w:r>
    </w:p>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Approved by the Governor May 16, 2017, with the exception of certain items that were vetoed.</w:t>
      </w:r>
    </w:p>
    <w:p>
      <w:pPr>
        <w:spacing w:before="0" w:after="0" w:line="408" w:lineRule="exact"/>
        <w:ind w:left="0" w:right="0" w:firstLine="576"/>
        <w:jc w:val="left"/>
      </w:pPr>
      <w:r>
        <w:rPr/>
        <w:t xml:space="preserve">Filed in Office of Secretary of State May 17,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5, Senate Bill No. 5037 entitled:</w:t>
      </w:r>
    </w:p>
    <w:p>
      <w:pPr>
        <w:spacing w:before="120" w:after="0" w:line="408" w:lineRule="exact"/>
        <w:ind w:left="0" w:right="0" w:firstLine="576"/>
        <w:jc w:val="left"/>
      </w:pPr>
      <w:r>
        <w:rPr/>
        <w:t xml:space="preserve">"AN ACT Relating to making a fourth driving under the influence offense a felony."</w:t>
      </w:r>
    </w:p>
    <w:p>
      <w:pPr>
        <w:spacing w:before="120" w:after="0" w:line="408" w:lineRule="exact"/>
        <w:ind w:left="0" w:right="0" w:firstLine="0"/>
        <w:jc w:val="left"/>
      </w:pPr>
      <w:r>
        <w:rPr/>
        <w:t xml:space="preserve">Section 5 of this bill increases the $200 fee assessed to alcohol violators by $50. The revenue is used to fund grants to organizations that operate programs to reduce driving under the influence of alcohol
or drugs. This language is nearly identical to Section 13 of Engrossed Second Substitute House Bill 1614, which passed on April 21, 2017, and will soon be signed into law. However, Engrossed Second Substitute House Bill 1614 includes a provision that a minimum of $300,000 of these grant funds shall support newly established pilot programs for persons with two or more prior offenses in seven years, a preferable approach.</w:t>
      </w:r>
    </w:p>
    <w:p>
      <w:pPr>
        <w:spacing w:before="120" w:after="0" w:line="408" w:lineRule="exact"/>
        <w:ind w:left="0" w:right="0" w:firstLine="0"/>
        <w:jc w:val="left"/>
      </w:pPr>
      <w:r>
        <w:rPr/>
        <w:t xml:space="preserve">For these reasons I have vetoed Section 5 of Senate Bill No. 5037.</w:t>
      </w:r>
    </w:p>
    <w:p>
      <w:pPr>
        <w:spacing w:before="120" w:after="0" w:line="408" w:lineRule="exact"/>
        <w:ind w:left="0" w:right="0" w:firstLine="0"/>
        <w:jc w:val="left"/>
      </w:pPr>
      <w:r>
        <w:rPr/>
        <w:t xml:space="preserve">With the exception of Section 5, Senate Bill No. 5037 is approved."</w:t>
      </w:r>
    </w:p>
    <w:sectPr>
      <w:pgNumType w:start="1"/>
      <w:footerReference xmlns:r="http://schemas.openxmlformats.org/officeDocument/2006/relationships" r:id="R81c28424be4b4b1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2d347f53e94e7d" /><Relationship Type="http://schemas.openxmlformats.org/officeDocument/2006/relationships/footer" Target="/word/footer.xml" Id="R81c28424be4b4b13" /></Relationships>
</file>