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bde0625fc45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2785</w:t>
      </w:r>
    </w:p>
    <w:p>
      <w:pPr>
        <w:jc w:val="center"/>
        <w:spacing w:before="480" w:after="0" w:line="240"/>
      </w:pPr>
      <w:r>
        <w:t xml:space="preserve">Chapter </w:t>
      </w:r>
      <w:r>
        <w:rPr/>
        <w:t xml:space="preserve">51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FOSTER PARENT RIGHTS AND RESPONSIBILITIES--PROVIDING LIST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2785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10:59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2785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Dent, Senn, McCaslin, Kagi, Goodman, Klippert, Lovick, Eslick, Griffey, Caldier, Reeves, Hargrove, Valdez, Frame, and Steele</w:t>
      </w:r>
    </w:p>
    <w:p/>
    <w:p>
      <w:r>
        <w:rPr>
          <w:t xml:space="preserve">Read first time 01/16/18.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list of foster parent rights and responsibilities to prospective and current foster parents;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2017 3rd sp.s. c 6 s 101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w:t>
      </w:r>
      <w:r>
        <w:t>((</w:t>
      </w:r>
      <w:r>
        <w:rPr>
          <w:strike/>
        </w:rPr>
        <w:t xml:space="preserve">health-[healthy</w:t>
      </w:r>
      <w:r>
        <w:rPr>
          <w:rFonts w:ascii="Times New Roman" w:hAnsi="Times New Roman"/>
          <w:strike/>
        </w:rPr>
        <w:t xml:space="preserve">—</w:t>
      </w:r>
      <w:r>
        <w:rPr>
          <w:strike/>
        </w:rPr>
        <w:t xml:space="preserve">]</w:t>
      </w:r>
      <w:r>
        <w:t>))</w:t>
      </w:r>
      <w:r>
        <w:rPr/>
        <w:t xml:space="preserve"> </w:t>
      </w:r>
      <w:r>
        <w:rPr>
          <w:u w:val="single"/>
        </w:rPr>
        <w:t xml:space="preserve">healthy</w:t>
      </w:r>
      <w:r>
        <w:rPr>
          <w:rFonts w:ascii="Times New Roman" w:hAnsi="Times New Roman"/>
          <w:u w:val="single"/>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w:t>
      </w:r>
      <w:r>
        <w:t>((</w:t>
      </w:r>
      <w:r>
        <w:rPr>
          <w:strike/>
        </w:rPr>
        <w:t xml:space="preserve">and</w:t>
      </w:r>
      <w:r>
        <w:t>))</w:t>
      </w:r>
      <w:r>
        <w:rPr>
          <w:u w:val="single"/>
        </w:rPr>
        <w:t xml:space="preserve">, provided to individuals participating in a foster parent orientation before licensure,</w:t>
      </w:r>
      <w:r>
        <w:rPr/>
        <w:t xml:space="preserve"> provided to foster parents in writing at the time of licensure</w:t>
      </w:r>
      <w:r>
        <w:rPr>
          <w:u w:val="single"/>
        </w:rPr>
        <w:t xml:space="preserve">, and provided to foster parents applying for license renewal</w:t>
      </w:r>
      <w:r>
        <w:rPr/>
        <w:t xml:space="preserv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July 6,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1b768d74cf6c4eb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db84a01fad49b1" /><Relationship Type="http://schemas.openxmlformats.org/officeDocument/2006/relationships/footer" Target="/word/footer.xml" Id="R1b768d74cf6c4eba" /></Relationships>
</file>