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0af91a04f4476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2750</w:t>
      </w:r>
    </w:p>
    <w:p>
      <w:pPr>
        <w:jc w:val="center"/>
        <w:spacing w:before="480" w:after="0" w:line="240"/>
      </w:pPr>
      <w:r>
        <w:t xml:space="preserve">Chapter </w:t>
      </w:r>
      <w:r>
        <w:rPr/>
        <w:t xml:space="preserve">173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ASSISTED LIVING FACILITIES--QUALITY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95</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29</w:t>
            </w:r>
            <w:r>
              <w:t xml:space="preserve">  Nays </w:t>
              <w:t xml:space="preserve">19</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2750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10:59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2750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Tharinger, Johnson, Cody, Stonier, Slatter, Robinson, Jinkins, Appleton, Muri, and Gregerson</w:t>
      </w:r>
    </w:p>
    <w:p/>
    <w:p>
      <w:r>
        <w:rPr>
          <w:t xml:space="preserve">Read first time 01/15/18.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quality in assisted living facilities; amending RCW 18.20.190 and 18.20.430; adding new sections to chapter 18.20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is ranked number one in the nation in offering quality choices in its long-term services and supports system. Assisted living facilities are an important part of the state's long-term services and supports plan;</w:t>
      </w:r>
    </w:p>
    <w:p>
      <w:pPr>
        <w:spacing w:before="0" w:after="0" w:line="408" w:lineRule="exact"/>
        <w:ind w:left="0" w:right="0" w:firstLine="576"/>
        <w:jc w:val="left"/>
      </w:pPr>
      <w:r>
        <w:rPr/>
        <w:t xml:space="preserve">(2) Consumers should have access to current information about assisted living facilities to make informed choices;</w:t>
      </w:r>
    </w:p>
    <w:p>
      <w:pPr>
        <w:spacing w:before="0" w:after="0" w:line="408" w:lineRule="exact"/>
        <w:ind w:left="0" w:right="0" w:firstLine="576"/>
        <w:jc w:val="left"/>
      </w:pPr>
      <w:r>
        <w:rPr/>
        <w:t xml:space="preserve">(3) Washingtonians choose to live in assisted living facilities for many different reasons including safety, access to care, socialization, rehabilitation, and community;</w:t>
      </w:r>
    </w:p>
    <w:p>
      <w:pPr>
        <w:spacing w:before="0" w:after="0" w:line="408" w:lineRule="exact"/>
        <w:ind w:left="0" w:right="0" w:firstLine="576"/>
        <w:jc w:val="left"/>
      </w:pPr>
      <w:r>
        <w:rPr/>
        <w:t xml:space="preserve">(4) Deciding where to live and what kind of facility to live in are big decisions for potential residents and families. They deserve to have access to all information collected by the state to use in making their decisions. Providing transparency will allow for more informed consumer choices;</w:t>
      </w:r>
    </w:p>
    <w:p>
      <w:pPr>
        <w:spacing w:before="0" w:after="0" w:line="408" w:lineRule="exact"/>
        <w:ind w:left="0" w:right="0" w:firstLine="576"/>
        <w:jc w:val="left"/>
      </w:pPr>
      <w:r>
        <w:rPr/>
        <w:t xml:space="preserve">(5) Consumers already have access to information on nursing homes and adult family homes. This act would bring assisted living facilities in line with other settings; and</w:t>
      </w:r>
    </w:p>
    <w:p>
      <w:pPr>
        <w:spacing w:before="0" w:after="0" w:line="408" w:lineRule="exact"/>
        <w:ind w:left="0" w:right="0" w:firstLine="576"/>
        <w:jc w:val="left"/>
      </w:pPr>
      <w:r>
        <w:rPr/>
        <w:t xml:space="preserve">(6) Assisted living facilities need to be held accountable for the residents in their care and the fine structure should be reflective of that responsibility.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shall provide information to consumers about assisted living facilities. This information must be made available online and must include information related to site visits, substantiated inspection and complaint investigation reports, including any citation and remedy imposed, and a listing of licensed assisted living facilities by geographic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facilitate a work group process to recommend quality metrics for assisted living facilities. The department shall keep a public record of comments submitted by stakeholders throughout the work group process.</w:t>
      </w:r>
    </w:p>
    <w:p>
      <w:pPr>
        <w:spacing w:before="0" w:after="0" w:line="408" w:lineRule="exact"/>
        <w:ind w:left="0" w:right="0" w:firstLine="576"/>
        <w:jc w:val="left"/>
      </w:pPr>
      <w:r>
        <w:rPr/>
        <w:t xml:space="preserve">(2) The work group shall consist of representatives from the department, assisted living provider associations, the long-term care ombuds; organizations with expertise in serving persons with mental health needs in an institutional setting, as selected by the department; organizations with expertise in serving persons with developmental disability needs in an institutional setting, as selected by the department; organizations with expertise in serving culturally diverse and non-English-speaking persons in an institutional setting, as selected by the department; health care professionals with experience caring for diverse and non-English-speaking patients, as selected by the department; licensed health care professionals with experience caring for geriatric patients, as selected by the department; and an Alzheimer's advocacy organization. The work group may solicit input from individuals with additional expertise, if necessary.</w:t>
      </w:r>
    </w:p>
    <w:p>
      <w:pPr>
        <w:spacing w:before="0" w:after="0" w:line="408" w:lineRule="exact"/>
        <w:ind w:left="0" w:right="0" w:firstLine="576"/>
        <w:jc w:val="left"/>
      </w:pPr>
      <w:r>
        <w:rPr/>
        <w:t xml:space="preserve">(3) The work group shall make an interim report by September 1, 2019, and final recommendations to the appropriate legislative committees by September 1, 2020, and shall include a dissent report if agreement is not achieved among stakeholders and the department.</w:t>
      </w:r>
    </w:p>
    <w:p>
      <w:pPr>
        <w:spacing w:before="0" w:after="0" w:line="408" w:lineRule="exact"/>
        <w:ind w:left="0" w:right="0" w:firstLine="576"/>
        <w:jc w:val="left"/>
      </w:pPr>
      <w:r>
        <w:rPr/>
        <w:t xml:space="preserve">(4) The work group must submit recommendations for a quality metric system, propose a process for monitoring and tracking performance, and recommend a process to inform consumers.</w:t>
      </w:r>
    </w:p>
    <w:p>
      <w:pPr>
        <w:spacing w:before="0" w:after="0" w:line="408" w:lineRule="exact"/>
        <w:ind w:left="0" w:right="0" w:firstLine="576"/>
        <w:jc w:val="left"/>
      </w:pPr>
      <w:r>
        <w:rPr/>
        <w:t xml:space="preserve">(5) The department shall include at least one meeting dedicated to review and analysis of other states with quality metric methodologies for assisted living and must include information on how well each state is achieving quality care outcomes. In addressing data metrics the work group shall consider whether the data that must be reported reflect and promote quality of care and whether reporting the data is unnecessarily burdensome upon assisted living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190</w:t>
      </w:r>
      <w:r>
        <w:rPr/>
        <w:t xml:space="preserve"> and 2012 c 10 s 13 are each amended to read as follows:</w:t>
      </w:r>
    </w:p>
    <w:p>
      <w:pPr>
        <w:spacing w:before="0" w:after="0" w:line="408" w:lineRule="exact"/>
        <w:ind w:left="0" w:right="0" w:firstLine="576"/>
        <w:jc w:val="left"/>
      </w:pPr>
      <w:r>
        <w:rPr/>
        <w:t xml:space="preserve">(1) The department of social and health services is authorized to take one or more of the actions listed in subsection (2) of this section in any case in which the department finds that an assisted living facility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assisted living facility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or</w:t>
      </w:r>
    </w:p>
    <w:p>
      <w:pPr>
        <w:spacing w:before="0" w:after="0" w:line="408" w:lineRule="exact"/>
        <w:ind w:left="0" w:right="0" w:firstLine="576"/>
        <w:jc w:val="left"/>
      </w:pPr>
      <w:r>
        <w:rPr/>
        <w:t xml:space="preserve">(d) Willfully prevented or interfered with any inspection or investigation by the department.</w:t>
      </w:r>
    </w:p>
    <w:p>
      <w:pPr>
        <w:spacing w:before="0" w:after="0" w:line="408" w:lineRule="exact"/>
        <w:ind w:left="0" w:right="0" w:firstLine="576"/>
        <w:jc w:val="left"/>
      </w:pPr>
      <w:r>
        <w:rPr/>
        <w:t xml:space="preserve">(2) When authorized by subsection (1) of this section, the department may take one or more of the following actions</w:t>
      </w:r>
      <w:r>
        <w:rPr>
          <w:u w:val="single"/>
        </w:rPr>
        <w:t xml:space="preserve">, using a tiered sanction grid that considers the extent of harm from the deficiency and the regularity of the occurrence of the deficiency when imposing civil fines</w:t>
      </w:r>
      <w:r>
        <w:rPr/>
        <w:t xml:space="preserve">:</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w:t>
      </w:r>
      <w:r>
        <w:t>((</w:t>
      </w:r>
      <w:r>
        <w:rPr>
          <w:strike/>
        </w:rPr>
        <w:t xml:space="preserve">not more than</w:t>
      </w:r>
      <w:r>
        <w:t>))</w:t>
      </w:r>
      <w:r>
        <w:rPr/>
        <w:t xml:space="preserve"> </w:t>
      </w:r>
      <w:r>
        <w:rPr>
          <w:u w:val="single"/>
        </w:rPr>
        <w:t xml:space="preserve">at least</w:t>
      </w:r>
      <w:r>
        <w:rPr/>
        <w:t xml:space="preserve"> one hundred dollars per day per violation</w:t>
      </w:r>
      <w:r>
        <w:rPr>
          <w:u w:val="single"/>
        </w:rPr>
        <w:t xml:space="preserve">. Until July 1, 2019, the civil penalties may not exceed one thousand dollars per day per violation. Beginning July 1, 2019, through June 30, 2020, the civil penalties may not exceed two thousand dollars per day per violation. Beginning July 1, 2020, the civil penalties may not exceed three thousand dollars per day per violation</w:t>
      </w:r>
      <w:r>
        <w:rPr/>
        <w:t xml:space="preserve">;</w:t>
      </w:r>
    </w:p>
    <w:p>
      <w:pPr>
        <w:spacing w:before="0" w:after="0" w:line="408" w:lineRule="exact"/>
        <w:ind w:left="0" w:right="0" w:firstLine="576"/>
        <w:jc w:val="left"/>
      </w:pPr>
      <w:r>
        <w:rPr/>
        <w:t xml:space="preserve">(d) </w:t>
      </w:r>
      <w:r>
        <w:rPr>
          <w:u w:val="single"/>
        </w:rPr>
        <w:t xml:space="preserve">Impose civil penalties of up to ten thousand dollars for a current or former licensed provider who is operating an unlicensed facility;</w:t>
      </w:r>
    </w:p>
    <w:p>
      <w:pPr>
        <w:spacing w:before="0" w:after="0" w:line="408" w:lineRule="exact"/>
        <w:ind w:left="0" w:right="0" w:firstLine="576"/>
        <w:jc w:val="left"/>
      </w:pPr>
      <w:r>
        <w:rPr>
          <w:u w:val="single"/>
        </w:rPr>
        <w:t xml:space="preserve">(e)</w:t>
      </w:r>
      <w:r>
        <w:rPr/>
        <w:t xml:space="preserve"> Suspend, revoke, or refuse to renew a license;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Suspend admissions to the assisted living facility by imposing stop placement; or</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Suspend admission of a specific category or categories of residents as related to the violation by imposing a limited stop placement.</w:t>
      </w:r>
    </w:p>
    <w:p>
      <w:pPr>
        <w:spacing w:before="0" w:after="0" w:line="408" w:lineRule="exact"/>
        <w:ind w:left="0" w:right="0" w:firstLine="576"/>
        <w:jc w:val="left"/>
      </w:pPr>
      <w:r>
        <w:rPr/>
        <w:t xml:space="preserve">(3) When the department orders stop placement or a limited stop placement, the facility shall not admit any new resident until the stop placement or limited stop placement order is terminated. The department may approve readmission of a resident to the facility from a hospital or nursing home during the stop placement or limited stop placement. The department shall terminate the stop placement or limited stop placement when: (a) The violations necessitating the stop placement or limited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or new limited stop placement, the previous stop placement or limited stop placement shall remain in effect until the new stop placement or new limited stop placement is imposed.</w:t>
      </w:r>
    </w:p>
    <w:p>
      <w:pPr>
        <w:spacing w:before="0" w:after="0" w:line="408" w:lineRule="exact"/>
        <w:ind w:left="0" w:right="0" w:firstLine="576"/>
        <w:jc w:val="left"/>
      </w:pPr>
      <w:r>
        <w:rPr/>
        <w:t xml:space="preserve">(4) After a department finding of a violation for which a stop placement or limited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RCW 43.20A.205 governs notice of a license denial, revocation, suspension, or modification. Chapter 34.05 RCW applies to department actions under this section, except that orders of the department imposing license suspension, stop placement, limited stop placement, or conditions for continuation of a license are effective immediately upon notice and shall continue pending any hearing.</w:t>
      </w:r>
    </w:p>
    <w:p>
      <w:pPr>
        <w:spacing w:before="0" w:after="0" w:line="408" w:lineRule="exact"/>
        <w:ind w:left="0" w:right="0" w:firstLine="576"/>
        <w:jc w:val="left"/>
      </w:pPr>
      <w:r>
        <w:rPr/>
        <w:t xml:space="preserve">(6) </w:t>
      </w:r>
      <w:r>
        <w:rPr>
          <w:u w:val="single"/>
        </w:rPr>
        <w:t xml:space="preserve">All receipts from civil penalties imposed under this chapter must be deposited in the assisted living facility temporary management account created in RCW 18.20.430.</w:t>
      </w:r>
    </w:p>
    <w:p>
      <w:pPr>
        <w:spacing w:before="0" w:after="0" w:line="408" w:lineRule="exact"/>
        <w:ind w:left="0" w:right="0" w:firstLine="576"/>
        <w:jc w:val="left"/>
      </w:pPr>
      <w:r>
        <w:rPr>
          <w:u w:val="single"/>
        </w:rPr>
        <w:t xml:space="preserve">(7)</w:t>
      </w:r>
      <w:r>
        <w:rPr/>
        <w:t xml:space="preserve"> For the purposes of this section, "limited stop placement" means the ability to suspend admission of a specific category or categories of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430</w:t>
      </w:r>
      <w:r>
        <w:rPr/>
        <w:t xml:space="preserve"> and 2016 sp.s. c 36 s 912 are each amended to read as follows:</w:t>
      </w:r>
    </w:p>
    <w:p>
      <w:pPr>
        <w:spacing w:before="0" w:after="0" w:line="408" w:lineRule="exact"/>
        <w:ind w:left="0" w:right="0" w:firstLine="576"/>
        <w:jc w:val="left"/>
      </w:pPr>
      <w:r>
        <w:rPr/>
        <w:t xml:space="preserve">The assisted living facility temporary management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Expenditures from the account may be used only for the protection of the health, safety, welfare, or property of residents of assisted living facilities found to be deficient. Uses of the account include, but are not limited to:</w:t>
      </w:r>
    </w:p>
    <w:p>
      <w:pPr>
        <w:spacing w:before="0" w:after="0" w:line="408" w:lineRule="exact"/>
        <w:ind w:left="0" w:right="0" w:firstLine="576"/>
        <w:jc w:val="left"/>
      </w:pPr>
      <w:r>
        <w:rPr/>
        <w:t xml:space="preserve">(1) Payment for the costs of relocation of residents to other facilities;</w:t>
      </w:r>
    </w:p>
    <w:p>
      <w:pPr>
        <w:spacing w:before="0" w:after="0" w:line="408" w:lineRule="exact"/>
        <w:ind w:left="0" w:right="0" w:firstLine="576"/>
        <w:jc w:val="left"/>
      </w:pPr>
      <w:r>
        <w:rPr/>
        <w:t xml:space="preserve">(2) Payment to maintain operation of an assisted living facility pending correction of deficiencies or closure, including payment of costs associated with temporary management authorized under this chapter; </w:t>
      </w:r>
      <w:r>
        <w:t>((</w:t>
      </w:r>
      <w:r>
        <w:rPr>
          <w:strike/>
        </w:rPr>
        <w:t xml:space="preserve">and</w:t>
      </w:r>
      <w:r>
        <w:t>))</w:t>
      </w:r>
    </w:p>
    <w:p>
      <w:pPr>
        <w:spacing w:before="0" w:after="0" w:line="408" w:lineRule="exact"/>
        <w:ind w:left="0" w:right="0" w:firstLine="576"/>
        <w:jc w:val="left"/>
      </w:pPr>
      <w:r>
        <w:rPr/>
        <w:t xml:space="preserve">(3) Reimbursement of residents for personal funds or property lost or stolen when the resident's personal funds or property cannot be recovered from the assisted living facility or third-party insurer</w:t>
      </w:r>
      <w:r>
        <w:rPr>
          <w:u w:val="single"/>
        </w:rPr>
        <w:t xml:space="preserve">; and</w:t>
      </w:r>
    </w:p>
    <w:p>
      <w:pPr>
        <w:spacing w:before="0" w:after="0" w:line="408" w:lineRule="exact"/>
        <w:ind w:left="0" w:right="0" w:firstLine="576"/>
        <w:jc w:val="left"/>
      </w:pPr>
      <w:r>
        <w:rPr>
          <w:u w:val="single"/>
        </w:rPr>
        <w:t xml:space="preserve">(4) The protection of the health, safety, welfare, and property of residents of assisted living facilities found to be noncompliant with licensing standards</w:t>
      </w:r>
      <w:r>
        <w:rPr/>
        <w:t xml:space="preserve">.</w:t>
      </w:r>
    </w:p>
    <w:p>
      <w:pPr>
        <w:spacing w:before="0" w:after="0" w:line="408" w:lineRule="exact"/>
        <w:ind w:left="0" w:right="0" w:firstLine="576"/>
        <w:jc w:val="left"/>
      </w:pPr>
      <w:r>
        <w:t>((</w:t>
      </w:r>
      <w:r>
        <w:rPr>
          <w:strike/>
        </w:rPr>
        <w:t xml:space="preserve">During the 2015-2017 fiscal biennium, the account may be expended for funding the costs associated with the assisted living program.</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9cebe8a547f4d5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8dce831a484cc3" /><Relationship Type="http://schemas.openxmlformats.org/officeDocument/2006/relationships/footer" Target="/word/footer.xml" Id="Rf9cebe8a547f4d5d" /></Relationships>
</file>