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aec3270eb49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2685</w:t>
      </w:r>
    </w:p>
    <w:p>
      <w:pPr>
        <w:jc w:val="center"/>
        <w:spacing w:before="480" w:after="0" w:line="240"/>
      </w:pPr>
      <w:r>
        <w:t xml:space="preserve">Chapter </w:t>
      </w:r>
      <w:r>
        <w:rPr/>
        <w:t xml:space="preserve">228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HIGH SCHOOL STUDENTS-- PREAPPRENTICESHIP AND YOUTH APPRENTICESHIP OPPORTUNITIES--PROMOTION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4:21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Ortiz-Self, Harris, Santos, Johnson, Caldier, Dolan, Ormsby, Valdez, Steele, Frame, Jinkins, Bergquist, Doglio, McBride, Sells, Tarleton, and Pollet)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preapprenticeship opportunities for high school students;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 level vocational courses at institutions of higher education and high school curriculum and graduation requirements, including high school and beyond plans required by RCW 28A.230.090. Recommendations provided under this subsection may include recommendations for the development or revision of career and technical education course equivalencies established in accordance with RCW 28A.700.080(1)(b) for college 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498c22eb35341e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10ec48f25c4ecf" /><Relationship Type="http://schemas.openxmlformats.org/officeDocument/2006/relationships/footer" Target="/word/footer.xml" Id="Rc498c22eb35341ee" /></Relationships>
</file>