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79e3c842944d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2669</w:t>
      </w:r>
    </w:p>
    <w:p>
      <w:pPr>
        <w:jc w:val="center"/>
        <w:spacing w:before="480" w:after="0" w:line="240"/>
      </w:pPr>
      <w:r>
        <w:t xml:space="preserve">Chapter </w:t>
      </w:r>
      <w:r>
        <w:rPr/>
        <w:t xml:space="preserve">246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CIVIL SERVICE--PART-TIME EMPLOYEES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50</w:t>
            </w:r>
            <w:r>
              <w:t xml:space="preserve">  Nays </w:t>
              <w:t xml:space="preserve">47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27</w:t>
            </w:r>
            <w:r>
              <w:t xml:space="preserve">  Nays </w:t>
              <w:t xml:space="preserve">21</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2669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9:18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2669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Doglio, Ormsby, Hudgins, Valdez, Fitzgibbon, Jinkins, Goodman, Macri, Ortiz-Self, Stanford, Ryu, and Pollet</w:t>
      </w:r>
    </w:p>
    <w:p/>
    <w:p>
      <w:r>
        <w:rPr>
          <w:t xml:space="preserve">Read first time 01/12/18.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part-time employees to state civil service; and amending RCW 41.06.070.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2016 c 188 s 11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w:t>
      </w:r>
      <w:r>
        <w:t>((</w:t>
      </w:r>
      <w:r>
        <w:rPr>
          <w:strike/>
        </w:rPr>
        <w:t xml:space="preserve">part-time, or</w:t>
      </w:r>
      <w:r>
        <w:t>))</w:t>
      </w:r>
      <w:r>
        <w:rPr/>
        <w:t xml:space="preserve"> </w:t>
      </w:r>
      <w:r>
        <w:rPr>
          <w:u w:val="single"/>
        </w:rPr>
        <w:t xml:space="preserve">and</w:t>
      </w:r>
      <w:r>
        <w:rPr/>
        <w:t xml:space="preserve">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u w:val="single"/>
        </w:rPr>
        <w:t xml:space="preserve">(4)</w:t>
      </w:r>
      <w:r>
        <w:rPr/>
        <w:t xml:space="preserve">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t>((</w:t>
      </w:r>
      <w:r>
        <w:rPr>
          <w:strike/>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strike/>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strike/>
        </w:rPr>
        <w:t xml:space="preserve">(a) The salary increase can be paid within existing resources;</w:t>
      </w:r>
    </w:p>
    <w:p>
      <w:pPr>
        <w:spacing w:before="0" w:after="0" w:line="408" w:lineRule="exact"/>
        <w:ind w:left="0" w:right="0" w:firstLine="576"/>
        <w:jc w:val="left"/>
      </w:pPr>
      <w:r>
        <w:rPr>
          <w:strike/>
        </w:rPr>
        <w:t xml:space="preserve">(b) The salary increase will not adversely impact the provision of client services; and</w:t>
      </w:r>
    </w:p>
    <w:p>
      <w:pPr>
        <w:spacing w:before="0" w:after="0" w:line="408" w:lineRule="exact"/>
        <w:ind w:left="0" w:right="0" w:firstLine="576"/>
        <w:jc w:val="left"/>
      </w:pPr>
      <w:r>
        <w:rPr>
          <w:strike/>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strike/>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strike/>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r>
        <w:t>))</w:t>
      </w:r>
    </w:p>
    <w:p>
      <w:pPr>
        <w:spacing w:before="0" w:after="0" w:line="408" w:lineRule="exact"/>
        <w:ind w:left="0" w:right="0" w:firstLine="576"/>
        <w:jc w:val="left"/>
      </w:pPr>
      <w:r>
        <w:rPr>
          <w:u w:val="single"/>
        </w:rPr>
        <w:t xml:space="preserve">(5)(a)</w:t>
      </w:r>
      <w:r>
        <w:rPr/>
        <w:t xml:space="preserve">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u w:val="single"/>
        </w:rPr>
        <w:t xml:space="preserve">(b)</w:t>
      </w:r>
      <w:r>
        <w:rPr/>
        <w:t xml:space="preserve">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u w:val="single"/>
        </w:rPr>
        <w:t xml:space="preserve">(c)</w:t>
      </w:r>
      <w:r>
        <w:rPr/>
        <w:t xml:space="preserve">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t>((</w:t>
      </w:r>
      <w:r>
        <w:rPr>
          <w:strike/>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strike/>
        </w:rPr>
        <w:t xml:space="preserve">From July 1, 2011, until June 30, 2013, no performance-based awards or incentives may be granted by the director or employers to employees pursuant to a performance management confirmation granted by the department of personnel under WAC 357-37-055.</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834d6e63b6f0414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aef89cece04211" /><Relationship Type="http://schemas.openxmlformats.org/officeDocument/2006/relationships/footer" Target="/word/footer.xml" Id="R834d6e63b6f0414b" /></Relationships>
</file>