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b3009ebb246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2638</w:t>
      </w:r>
    </w:p>
    <w:p>
      <w:pPr>
        <w:jc w:val="center"/>
        <w:spacing w:before="480" w:after="0" w:line="240"/>
      </w:pPr>
      <w:r>
        <w:t xml:space="preserve">Chapter </w:t>
      </w:r>
      <w:r>
        <w:rPr/>
        <w:t xml:space="preserve">166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OFFENDERS--GRADUATED REENTRY--PARTIAL CONFINEMENT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85</w:t>
            </w:r>
            <w:r>
              <w:t xml:space="preserve">  Nays </w:t>
              <w:t xml:space="preserve">13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35</w:t>
            </w:r>
            <w:r>
              <w:t xml:space="preserve">  Nays </w:t>
              <w:t xml:space="preserve">13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10:46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2638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Public Safety (originally sponsored by Representatives Goodman, Pettigrew, Appleton, and Ortiz-Self; by request of Department of Corrections)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graduated reentry program of partial confinement for certain offenders; amending RCW 9.94A.030, 9.94A.734, and 9.94A.190; reenacting and amending RCW 9.94A.728; and adding a new section to chapter 9.94A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No more than the final six months of the offender's term of confinement may be served in partial confinement as home detention as part of the graduated reentry program developed by the department. However, an offender may not participate in the graduated reentry program under this section unless he or she has served at least twelve months in total confinement in a state correctional facility.</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release program, the department is deemed to be performing a quasi-judicial function.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2015 c 156 s 1 and 2015 c 134 s 3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six</w:t>
      </w:r>
      <w:r>
        <w:t>))</w:t>
      </w:r>
      <w:r>
        <w:rPr/>
        <w:t xml:space="preserve"> </w:t>
      </w:r>
      <w:r>
        <w:rPr>
          <w:u w:val="single"/>
        </w:rPr>
        <w:t xml:space="preserve">twelve</w:t>
      </w:r>
      <w:r>
        <w:rPr/>
        <w:t xml:space="preserve"> months of the offender's term of confinement may be served in partial confinement </w:t>
      </w:r>
      <w:r>
        <w:t>((</w:t>
      </w:r>
      <w:r>
        <w:rPr>
          <w:strike/>
        </w:rPr>
        <w:t xml:space="preserve">designed to aid</w:t>
      </w:r>
      <w:r>
        <w:t>))</w:t>
      </w:r>
      <w:r>
        <w:rPr/>
        <w:t xml:space="preserve"> </w:t>
      </w:r>
      <w:r>
        <w:rPr>
          <w:u w:val="single"/>
        </w:rPr>
        <w:t xml:space="preserve">for aiding</w:t>
      </w:r>
      <w:r>
        <w:rPr/>
        <w:t xml:space="preserve"> the offender </w:t>
      </w:r>
      <w:r>
        <w:t>((</w:t>
      </w:r>
      <w:r>
        <w:rPr>
          <w:strike/>
        </w:rPr>
        <w:t xml:space="preserve">in</w:t>
      </w:r>
      <w:r>
        <w:t>))</w:t>
      </w:r>
      <w:r>
        <w:rPr/>
        <w:t xml:space="preserve"> </w:t>
      </w:r>
      <w:r>
        <w:rPr>
          <w:u w:val="single"/>
        </w:rPr>
        <w:t xml:space="preserve">with: F</w:t>
      </w:r>
      <w:r>
        <w:rPr/>
        <w:t xml:space="preserve">inding work </w:t>
      </w:r>
      <w:r>
        <w:t>((</w:t>
      </w:r>
      <w:r>
        <w:rPr>
          <w:strike/>
        </w:rPr>
        <w:t xml:space="preserve">and</w:t>
      </w:r>
      <w:r>
        <w:t>))</w:t>
      </w:r>
      <w:r>
        <w:rPr/>
        <w:t xml:space="preserve"> </w:t>
      </w:r>
      <w:r>
        <w:rPr>
          <w:u w:val="single"/>
        </w:rPr>
        <w:t xml:space="preserve">as part of the work release program under chapter 72.65 RCW; or</w:t>
      </w:r>
      <w:r>
        <w:rPr/>
        <w:t xml:space="preserve"> reestablishing himself or herself in the community </w:t>
      </w:r>
      <w:r>
        <w:t>((</w:t>
      </w:r>
      <w:r>
        <w:rPr>
          <w:strike/>
        </w:rPr>
        <w:t xml:space="preserve">or no more than the final twelve months of the offender's term of confinement may be served in partial confinement</w:t>
      </w:r>
      <w:r>
        <w:t>))</w:t>
      </w:r>
      <w:r>
        <w:rPr/>
        <w:t xml:space="preserve">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w:t>
      </w:r>
      <w:r>
        <w:rPr>
          <w:u w:val="single"/>
        </w:rPr>
        <w:t xml:space="preserve">No more than the final six months of the offender's term of confinement may be served in partial confinement as home detention as part of the graduated reentry program developed by the department under section 1 of this act;</w:t>
      </w:r>
    </w:p>
    <w:p>
      <w:pPr>
        <w:spacing w:before="0" w:after="0" w:line="408" w:lineRule="exact"/>
        <w:ind w:left="0" w:right="0" w:firstLine="576"/>
        <w:jc w:val="left"/>
      </w:pPr>
      <w:r>
        <w:rPr>
          <w:u w:val="single"/>
        </w:rPr>
        <w:t xml:space="preserve">(g)</w:t>
      </w:r>
      <w:r>
        <w:rPr/>
        <w:t xml:space="preserve"> The governor may pardon any offender;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department may release an offender from confinement any time within ten days before a release date calculated under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offender may leave a correctional facility prior to completion of his or her sentence if the sentence has been reduced as provided in RCW 9.94A.870;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w:t>
      </w:r>
      <w:r>
        <w:rPr>
          <w:u w:val="single"/>
        </w:rPr>
        <w:t xml:space="preserve">or the graduated reentry program</w:t>
      </w:r>
      <w:r>
        <w:rPr/>
        <w:t xml:space="preserve">,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2015 c 287 s 2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 </w:t>
      </w:r>
      <w:r>
        <w:rPr>
          <w:u w:val="single"/>
        </w:rPr>
        <w:t xml:space="preserve">or the graduated reentry program under section 1 of this act</w:t>
      </w:r>
      <w:r>
        <w:rPr/>
        <w:t xml:space="preserve">:</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t xml:space="preserve">(5)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spacing w:before="0" w:after="0" w:line="408" w:lineRule="exact"/>
        <w:ind w:left="0" w:right="0" w:firstLine="576"/>
        <w:jc w:val="left"/>
      </w:pPr>
      <w:r>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spacing w:before="0" w:after="0" w:line="408" w:lineRule="exact"/>
        <w:ind w:left="0" w:right="0" w:firstLine="576"/>
        <w:jc w:val="left"/>
      </w:pPr>
      <w:r>
        <w:rPr/>
        <w:t xml:space="preserve">(7) A home detention program must be administered by a monitoring agency that meets the conditions described in RCW 9.94A.736.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2010 c 224 s 10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w:t>
      </w:r>
      <w:r>
        <w:rPr>
          <w:u w:val="single"/>
        </w:rPr>
        <w:t xml:space="preserve">or the graduated reentry program under section 1 of this act</w:t>
      </w:r>
      <w:r>
        <w:rPr/>
        <w:t xml:space="preserve">.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f389f1c0bdc43c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e5b1c0bc2f4d07" /><Relationship Type="http://schemas.openxmlformats.org/officeDocument/2006/relationships/footer" Target="/word/footer.xml" Id="Rff389f1c0bdc43c1" /></Relationships>
</file>