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4189b6b4a240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2597</w:t>
      </w:r>
    </w:p>
    <w:p>
      <w:pPr>
        <w:jc w:val="center"/>
        <w:spacing w:before="480" w:after="0" w:line="240"/>
      </w:pPr>
      <w:r>
        <w:t xml:space="preserve">Chapter </w:t>
      </w:r>
      <w:r>
        <w:rPr/>
        <w:t xml:space="preserve">46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SENIOR CITIZENS AND DISABLED PERSONS--PROPERTY TAX EXEMPTION--LOCAL PROPERTY TAXES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2597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10:52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2597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Sullivan, Wylie, Slatter, Sawyer, Stanford, Pollet, Kloba, Bergquist, Ormsby, Kilduff, and Macri)</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existing state property tax exemption for residences of senior citizens and disabled persons to local regular property taxes; amending RCW 84.36.381 and 84.55.050;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property tax exemption for the owner occupied residences of low-income seniors, disabled veterans, and other people who are disabled applies to any additional local regular property taxes imposed by a city or county that has also approved such an action by identifying the tax exemption in the ballot measure placed before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2017 3rd sp.s. c 13 s 311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of forty thousand dollars or less is exempt from all excess property taxes </w:t>
      </w:r>
      <w:r>
        <w:t>((</w:t>
      </w:r>
      <w:r>
        <w:rPr>
          <w:strike/>
        </w:rPr>
        <w:t xml:space="preserve">and</w:t>
      </w:r>
      <w:r>
        <w:t>))</w:t>
      </w:r>
      <w:r>
        <w:rPr>
          <w:u w:val="single"/>
        </w:rPr>
        <w:t xml:space="preserve">,</w:t>
      </w:r>
      <w:r>
        <w:rPr/>
        <w:t xml:space="preserve"> the additional state property tax imposed under RCW 84.52.065(2)</w:t>
      </w:r>
      <w:r>
        <w:rPr>
          <w:u w:val="single"/>
        </w:rPr>
        <w:t xml:space="preserve">,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w:t>
      </w:r>
      <w:r>
        <w:rPr/>
        <w:t xml:space="preserve">; and</w:t>
      </w:r>
    </w:p>
    <w:p>
      <w:pPr>
        <w:spacing w:before="0" w:after="0" w:line="408" w:lineRule="exact"/>
        <w:ind w:left="0" w:right="0" w:firstLine="576"/>
        <w:jc w:val="left"/>
      </w:pPr>
      <w:r>
        <w:rPr/>
        <w:t xml:space="preserve">(b)(i) A person who otherwise qualifies under this section and has a combined disposable income of thirty-five thousand dollars or less but greater than thirty thousand dollars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of thirty thousand dollars or less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of forty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2017 c 296 s 2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twelve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twenty-five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 </w:t>
      </w:r>
      <w:r>
        <w:t>((</w:t>
      </w:r>
      <w:r>
        <w:rPr>
          <w:strike/>
        </w:rPr>
        <w:t xml:space="preserve">or</w:t>
      </w:r>
      <w:r>
        <w:t>))</w:t>
      </w:r>
    </w:p>
    <w:p>
      <w:pPr>
        <w:spacing w:before="0" w:after="0" w:line="408" w:lineRule="exact"/>
        <w:ind w:left="0" w:right="0" w:firstLine="576"/>
        <w:jc w:val="left"/>
      </w:pPr>
      <w:r>
        <w:rPr/>
        <w:t xml:space="preserve">(e) </w:t>
      </w:r>
      <w:r>
        <w:rPr>
          <w:u w:val="single"/>
        </w:rPr>
        <w:t xml:space="preserve">Provide that the exemption authorized by RCW 84.36.381 will apply to the levy of any additional regular property taxes authorized by voters; or</w:t>
      </w:r>
    </w:p>
    <w:p>
      <w:pPr>
        <w:spacing w:before="0" w:after="0" w:line="408" w:lineRule="exact"/>
        <w:ind w:left="0" w:right="0" w:firstLine="576"/>
        <w:jc w:val="left"/>
      </w:pPr>
      <w:r>
        <w:rPr>
          <w:u w:val="single"/>
        </w:rPr>
        <w:t xml:space="preserve">(f)</w:t>
      </w:r>
      <w:r>
        <w:rPr/>
        <w:t xml:space="preserv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14,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a2886a51b53c49d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150865c2444c91" /><Relationship Type="http://schemas.openxmlformats.org/officeDocument/2006/relationships/footer" Target="/word/footer.xml" Id="Ra2886a51b53c49da" /></Relationships>
</file>