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f3f1fdcdf40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2595</w:t>
      </w:r>
    </w:p>
    <w:p>
      <w:pPr>
        <w:jc w:val="center"/>
        <w:spacing w:before="480" w:after="0" w:line="240"/>
      </w:pPr>
      <w:r>
        <w:t xml:space="preserve">Chapter </w:t>
      </w:r>
      <w:r>
        <w:rPr/>
        <w:t xml:space="preserve">110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AUTOMATIC VOTER REGISTRATION</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101 through 107, which become effective 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27</w:t>
            </w:r>
            <w:r>
              <w:t xml:space="preserve">  Nays </w:t>
              <w:t xml:space="preserve">21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2595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19, 2018 3:13 PM</w:t>
            </w:r>
          </w:p>
        </w:tc>
        <w:tc>
          <w:tcPr>
            <w:tcW w:w="4560" w:type="dxa"/>
            <w:vAlign w:val="top"/>
          </w:tcPr>
          <w:p>
            <w:pPr>
              <w:jc w:val="center"/>
            </w:pPr>
            <w:r>
              <w:rPr>
                <w:t xml:space="preserve">FILED</w:t>
              </w:rPr>
            </w:r>
          </w:p>
          <w:p>
            <w:pPr>
              <w:jc w:val="center"/>
            </w:pPr>
            <w:r>
              <w:rPr>
                <w:rFonts w:ascii="Times New Roman" w:hAnsi="Times New Roman"/>
                <w:sz w:val="20"/>
              </w:rPr>
              <w:t xml:space="preserve">March 20,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2595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Hudgins, Dolan, Appleton, Gregerson, Pellicciotti, Jinkins, Senn, Wylie, Peterson, Sawyer, Fitzgibbon, Valdez, Stanford, Pollet, Doglio, Goodman, Ormsby, Macri, Riccelli, Robinson, and Stonier; by request of Governor Inslee)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29A.08.110, 29A.08.350, 46.20.207, 29A.08.410, 29A.08.420, and 29A.08.720; adding new sections to chapter 29A.08 RCW; adding a new section to chapter 46.20 RCW; adding a new section to chapter 29A.04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department of licensing shall implement an automatic voter registration system so that a person age eighteen years or older who meets requirements for voter registration and has received or is renewing an enhanced driver's license or identicard issued under RCW 46.20.202 or is changing the address for an existing enhanced driver's license or identicard pursuant to RCW 46.20.205 may be registered to vote or update voter registration information at the time of registration, renewal, or change of address, by automated process if the department of licensing record associated with the applicant contains the data required to determine whether the applicant meets requirements for voter registration under RCW 29A.08.010, other information as required by the secretary of state,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29A.08.350.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identicard issued under RCW 46.20.202 or change of address for an existing enhanced driver's license or identicard pursuant to RCW 46.20.205.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data files used by the secretary of state to certify voters registered through the automated process outlined in section 102 of this act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meet requirements for voter registration, who have been issued or are renewing an enhanced driver's license or identicard under RCW 46.20.202 or applying for a change of address for an existing enhanced driver's license or identicard pursuant to RCW 46.20.205,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207</w:t>
      </w:r>
      <w:r>
        <w:rPr/>
        <w:t xml:space="preserve"> and 1993 c 501 s 3 are each amended to read as follows:</w:t>
      </w:r>
    </w:p>
    <w:p>
      <w:pPr>
        <w:spacing w:before="0" w:after="0" w:line="408" w:lineRule="exact"/>
        <w:ind w:left="0" w:right="0" w:firstLine="576"/>
        <w:jc w:val="left"/>
      </w:pPr>
      <w:r>
        <w:rPr/>
        <w:t xml:space="preserve">(1) The department is authorized to cancel any driver's license upon determining that the licensee was not entitled to the issuance of the license, or that the licensee failed to give the required or correct information in his or her application, or that the licensee is incompetent to drive a motor vehicle for any of the reasons under RCW 46.20.031 (4) and (7).</w:t>
      </w:r>
    </w:p>
    <w:p>
      <w:pPr>
        <w:spacing w:before="0" w:after="0" w:line="408" w:lineRule="exact"/>
        <w:ind w:left="0" w:right="0" w:firstLine="576"/>
        <w:jc w:val="left"/>
      </w:pPr>
      <w:r>
        <w:rPr/>
        <w:t xml:space="preserve">(2) Upon such cancellation, the licensee must surrender the license so canceled to the department.</w:t>
      </w:r>
    </w:p>
    <w:p>
      <w:pPr>
        <w:spacing w:before="0" w:after="0" w:line="408" w:lineRule="exact"/>
        <w:ind w:left="0" w:right="0" w:firstLine="576"/>
        <w:jc w:val="left"/>
      </w:pPr>
      <w:r>
        <w:rPr>
          <w:u w:val="single"/>
        </w:rPr>
        <w:t xml:space="preserve">(3) Upon the cancellation of an enhanced driver's license or identicard for failure of the licensee to give correct information, if such information had been transferred to the secretary of state for purposes of voter registration, the department must immediately notify the office of the secretary of state, and the county auditor of the county of the licensee's address of record, of the cancellation of the license or identicard and identify the incorrect information.</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2019, the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t xml:space="preserve">(4) If the health benefit exchange determines, in consultation with the health care authority, that implementation of this act requires changes subject to approval from the centers for medicare and medicaid services, participation of the health benefit exchange is contingent on receiving that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(3) of this section shall implement automatic voter registration. The final decision is at the governor's sole discretion.</w:t>
      </w:r>
    </w:p>
    <w:p>
      <w:pPr>
        <w:spacing w:before="0" w:after="0" w:line="408" w:lineRule="exact"/>
        <w:ind w:left="0" w:right="0" w:firstLine="576"/>
        <w:jc w:val="left"/>
      </w:pPr>
      <w:r>
        <w:rPr/>
        <w:t xml:space="preserve">(2)(a)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t xml:space="preserve">(i) Steps needed to implement automatic voter registration under this act by July 1, 2019;</w:t>
      </w:r>
    </w:p>
    <w:p>
      <w:pPr>
        <w:spacing w:before="0" w:after="0" w:line="408" w:lineRule="exact"/>
        <w:ind w:left="0" w:right="0" w:firstLine="576"/>
        <w:jc w:val="left"/>
      </w:pPr>
      <w:r>
        <w:rPr/>
        <w:t xml:space="preserve">(ii) Barriers to implementation, including ways to mitigate those barriers; and</w:t>
      </w:r>
    </w:p>
    <w:p>
      <w:pPr>
        <w:spacing w:before="0" w:after="0" w:line="408" w:lineRule="exact"/>
        <w:ind w:left="0" w:right="0" w:firstLine="576"/>
        <w:jc w:val="left"/>
      </w:pPr>
      <w:r>
        <w:rPr/>
        <w:t xml:space="preserve">(iii) Applicable federal and state privacy protections for voter registration information.</w:t>
      </w:r>
    </w:p>
    <w:p>
      <w:pPr>
        <w:spacing w:before="0" w:after="0" w:line="408" w:lineRule="exact"/>
        <w:ind w:left="0" w:right="0" w:firstLine="576"/>
        <w:jc w:val="left"/>
      </w:pPr>
      <w:r>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t xml:space="preserve">(3)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rPr/>
        <w:t xml:space="preserve">(4)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rPr/>
        <w:t xml:space="preserve">(5) Agencies may not begin verifying citizenship as part of an agency transaction for the sole purpose of providing automatic voter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201 of this act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section 102 or 201 of this act,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section 102 or 201 of this act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w:t>
      </w:r>
    </w:p>
    <w:p>
      <w:pPr>
        <w:spacing w:before="0" w:after="0" w:line="408" w:lineRule="exact"/>
        <w:ind w:left="0" w:right="0" w:firstLine="576"/>
        <w:jc w:val="left"/>
      </w:pPr>
      <w:r>
        <w:rPr>
          <w:u w:val="single"/>
        </w:rPr>
        <w:t xml:space="preserve">(6) Submitting information to the health benefit exchange; or</w:t>
      </w:r>
    </w:p>
    <w:p>
      <w:pPr>
        <w:spacing w:before="0" w:after="0" w:line="408" w:lineRule="exact"/>
        <w:ind w:left="0" w:right="0" w:firstLine="576"/>
        <w:jc w:val="left"/>
      </w:pPr>
      <w:r>
        <w:rPr>
          <w:u w:val="single"/>
        </w:rPr>
        <w:t xml:space="preserve">(7) Submitting information to an agency designated under section 202 of this act once automatic voter registration is implemented at the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the health benefit exchange, or an agency designated under section 202 of this act once automatic voter registration is implemented at the agency</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the health benefit exchange,</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office of the secretary of state may adopt rules to implement automatic voter registration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107 of this act take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19, 2018.</w:t>
      </w:r>
    </w:p>
    <w:p>
      <w:pPr>
        <w:spacing w:before="0" w:after="0" w:line="408" w:lineRule="exact"/>
        <w:ind w:left="0" w:right="0" w:firstLine="576"/>
        <w:jc w:val="left"/>
      </w:pPr>
      <w:r>
        <w:rPr/>
        <w:t xml:space="preserve">Filed in Office of Secretary of State March 20, 2018.</w:t>
      </w:r>
    </w:p>
    <w:sectPr>
      <w:pgNumType w:start="1"/>
      <w:footerReference xmlns:r="http://schemas.openxmlformats.org/officeDocument/2006/relationships" r:id="R2ed30e821942411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2595.SL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6c854ff4a34995" /><Relationship Type="http://schemas.openxmlformats.org/officeDocument/2006/relationships/footer" Target="/word/footer.xml" Id="R2ed30e821942411c" /></Relationships>
</file>