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2fae93fe14d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2519</w:t>
      </w:r>
    </w:p>
    <w:p>
      <w:pPr>
        <w:jc w:val="center"/>
        <w:spacing w:before="480" w:after="0" w:line="240"/>
      </w:pPr>
      <w:r>
        <w:t xml:space="preserve">Chapter </w:t>
      </w:r>
      <w:r>
        <w:rPr/>
        <w:t xml:space="preserve">226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CONCEALED PISTOL LICENSES--ELIGIBILITY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69</w:t>
            </w:r>
            <w:r>
              <w:t xml:space="preserve">  Nays </w:t>
              <w:t xml:space="preserve">28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37</w:t>
            </w:r>
            <w:r>
              <w:t xml:space="preserve">  Nays </w:t>
              <w:t xml:space="preserve">11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2519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4:18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2519</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Lovick, Hayes, Goodman, Klippert, Appleton, Sells, and Robinson</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eligibility requirements; amending RCW 9.41.345; and reenacting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2015 c 130 s 2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w:t>
      </w:r>
      <w:r>
        <w:rPr>
          <w:u w:val="single"/>
        </w:rPr>
        <w:t xml:space="preserve">(a)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u w:val="single"/>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u w:val="single"/>
        </w:rPr>
        <w:t xml:space="preserve">(5)</w:t>
      </w:r>
      <w:r>
        <w:rPr/>
        <w:t xml:space="preserve"> The provisions of chapter 130, Laws of 2015 </w:t>
      </w:r>
      <w:r>
        <w:rPr>
          <w:u w:val="single"/>
        </w:rPr>
        <w:t xml:space="preserve">and subsection (4) of this section</w:t>
      </w:r>
      <w:r>
        <w:rPr/>
        <w:t xml:space="preserve"> shall not apply to circumstances where a law enforcement officer has momentarily obtained a firearm </w:t>
      </w:r>
      <w:r>
        <w:rPr>
          <w:u w:val="single"/>
        </w:rPr>
        <w:t xml:space="preserve">or concealed pistol license</w:t>
      </w:r>
      <w:r>
        <w:rPr/>
        <w:t xml:space="preserve"> from an individual and would otherwise immediately return the firearm </w:t>
      </w:r>
      <w:r>
        <w:rPr>
          <w:u w:val="single"/>
        </w:rPr>
        <w:t xml:space="preserve">or concealed pistol license</w:t>
      </w:r>
      <w:r>
        <w:rPr/>
        <w:t xml:space="preserve"> to the individual during the same interaction.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2017 c 282 s 1 and 2017 C 174 s 1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w:t>
      </w:r>
      <w:r>
        <w:rPr>
          <w:u w:val="single"/>
        </w:rPr>
        <w:t xml:space="preserve">chapters 7.90, 7.92, or 7.94 RCW, or</w:t>
      </w:r>
      <w:r>
        <w:rPr/>
        <w:t xml:space="preserve">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u w:val="single"/>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ee8f3fabe87437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048e78f5314fbc" /><Relationship Type="http://schemas.openxmlformats.org/officeDocument/2006/relationships/footer" Target="/word/footer.xml" Id="R2ee8f3fabe87437d" /></Relationships>
</file>