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45959bf72947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2448</w:t>
      </w:r>
    </w:p>
    <w:p>
      <w:pPr>
        <w:jc w:val="center"/>
        <w:spacing w:before="480" w:after="0" w:line="240"/>
      </w:pPr>
      <w:r>
        <w:t xml:space="preserve">Chapter </w:t>
      </w:r>
      <w:r>
        <w:rPr/>
        <w:t xml:space="preserve">223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DEVELOPMENTALLY DISABLED PERSONS--HOUSING--TRANSFERS AND IMPROVEMENTS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2448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4:14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2448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Finance (originally sponsored by Representatives Senn, Tharinger, Chapman, Kilduff, Macri, Robinson, Appleton, Kloba, Pollet, Santos, and Tarleton)</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housing for developmentally disabled persons; amending RCW 82.45.010 and 43.185.050;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need to expand housing opportunities for persons with developmental disabilities. The legislature finds it is often preferable for persons with developmental disabilities to remain residing in their home, when it is safe and appropriate, to foster ongoing stability. The legislature recognizes that securing a child's future housing and services provides the parents of persons with developmental disabilities peace of mind. The legislature further finds that providing a new mechanism for the transfer of residential property into housing for persons with developmental disabilities expands the state's housing capacity and helps meet demand. The legislature further finds that utilizing existing residential property will reduce the demands on the housing trust fund. The legislature finds that there is an opportunity and need, for advocates and the supporters of the developmental disabilities community to work together, to develop model transfer agreements that will provide peace of mind and assist parents of children with developmental disabilities more readily access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chapter . . ., Laws of 2018 (section 3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reduce the tax burden on individuals and businesses imposed by the existing real estate excise tax rates.</w:t>
      </w:r>
    </w:p>
    <w:p>
      <w:pPr>
        <w:spacing w:before="0" w:after="0" w:line="408" w:lineRule="exact"/>
        <w:ind w:left="0" w:right="0" w:firstLine="576"/>
        <w:jc w:val="left"/>
      </w:pPr>
      <w:r>
        <w:rPr/>
        <w:t xml:space="preserve">(4) If a review finds that there is an increase of residential property transfers by parents of a person with developmental disabilities to a qualified entity as a result of the relief from this tax preference,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u w:val="single"/>
        </w:rPr>
        <w:t xml:space="preserve">(s)(i)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u w:val="single"/>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u w:val="single"/>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u w:val="single"/>
        </w:rPr>
        <w:t xml:space="preserve">(C) The residential property must have no more than four living units located on it; and</w:t>
      </w:r>
    </w:p>
    <w:p>
      <w:pPr>
        <w:spacing w:before="0" w:after="0" w:line="408" w:lineRule="exact"/>
        <w:ind w:left="0" w:right="0" w:firstLine="576"/>
        <w:jc w:val="left"/>
      </w:pPr>
      <w:r>
        <w:rPr>
          <w:u w:val="single"/>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u w:val="single"/>
        </w:rPr>
        <w:t xml:space="preserve">(ii) For the purposes of this subsection (3)(s) the definitions in RCW 71A.10.020 apply.</w:t>
      </w:r>
    </w:p>
    <w:p>
      <w:pPr>
        <w:spacing w:before="0" w:after="0" w:line="408" w:lineRule="exact"/>
        <w:ind w:left="0" w:right="0" w:firstLine="576"/>
        <w:jc w:val="left"/>
      </w:pPr>
      <w:r>
        <w:rPr>
          <w:u w:val="single"/>
        </w:rPr>
        <w:t xml:space="preserve">(iii) A "qualified entity" is:</w:t>
      </w:r>
    </w:p>
    <w:p>
      <w:pPr>
        <w:spacing w:before="0" w:after="0" w:line="408" w:lineRule="exact"/>
        <w:ind w:left="0" w:right="0" w:firstLine="576"/>
        <w:jc w:val="left"/>
      </w:pPr>
      <w:r>
        <w:rPr>
          <w:u w:val="single"/>
        </w:rPr>
        <w:t xml:space="preserve">(A) A nonprofit organization under Title 26 U.S.C. Sec. 501(c)(3) of the federal internal revenue code of 1986, as amended, as of the effective date of this section,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u w:val="single"/>
        </w:rPr>
        <w:t xml:space="preserve">(B) A nonprofit adult family home, as defined in RCW 70.128.010, that exclusively serves persons with developmental disabilities.</w:t>
      </w:r>
    </w:p>
    <w:p>
      <w:pPr>
        <w:spacing w:before="0" w:after="0" w:line="408" w:lineRule="exact"/>
        <w:ind w:left="0" w:right="0" w:firstLine="576"/>
        <w:jc w:val="left"/>
      </w:pPr>
      <w:r>
        <w:rPr>
          <w:u w:val="single"/>
        </w:rPr>
        <w:t xml:space="preserve">(iv) In order to receive an exemption under this subsection (3)(s) an affidavit must be submitted by the transferor of the residential property and must include a copy of the transfer agreement and any other documentation as required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2017 3rd sp.s. c 12 s 13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 At least thirty percent of these moneys used in any given funding cycle </w:t>
      </w:r>
      <w:r>
        <w:t>((</w:t>
      </w:r>
      <w:r>
        <w:rPr>
          <w:strike/>
        </w:rPr>
        <w:t xml:space="preserve">shall</w:t>
      </w:r>
      <w:r>
        <w:t>))</w:t>
      </w:r>
      <w:r>
        <w:rPr/>
        <w:t xml:space="preserve"> </w:t>
      </w:r>
      <w:r>
        <w:rPr>
          <w:u w:val="single"/>
        </w:rPr>
        <w:t xml:space="preserve">must</w:t>
      </w:r>
      <w:r>
        <w:rPr/>
        <w:t xml:space="preserve">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 </w:t>
      </w:r>
      <w:r>
        <w:t>((</w:t>
      </w:r>
      <w:r>
        <w:rPr>
          <w:strike/>
        </w:rPr>
        <w:t xml:space="preserve">and</w:t>
      </w:r>
      <w:r>
        <w:t>))</w:t>
      </w:r>
    </w:p>
    <w:p>
      <w:pPr>
        <w:spacing w:before="0" w:after="0" w:line="408" w:lineRule="exact"/>
        <w:ind w:left="0" w:right="0" w:firstLine="576"/>
        <w:jc w:val="left"/>
      </w:pPr>
      <w:r>
        <w:rPr/>
        <w:t xml:space="preserve">(k) Projects making housing more accessible to families with members who have disabilities</w:t>
      </w:r>
      <w:r>
        <w:rPr>
          <w:u w:val="single"/>
        </w:rPr>
        <w:t xml:space="preserve">; and</w:t>
      </w:r>
    </w:p>
    <w:p>
      <w:pPr>
        <w:spacing w:before="0" w:after="0" w:line="408" w:lineRule="exact"/>
        <w:ind w:left="0" w:right="0" w:firstLine="576"/>
        <w:jc w:val="left"/>
      </w:pPr>
      <w:r>
        <w:rPr>
          <w:u w:val="single"/>
        </w:rPr>
        <w:t xml:space="preserve">(l) Remodeling and improvements as required to meet building code, licensing requirements, or legal operations to residential properties owned and operated by an entity eligible under RCW 43.185A.040, which were transferred as described in RCW 82.45.010(3)(s) by the parent of a child with developmental disabilities</w:t>
      </w:r>
      <w:r>
        <w:rPr/>
        <w:t xml:space="preserve">.</w:t>
      </w:r>
    </w:p>
    <w:p>
      <w:pPr>
        <w:spacing w:before="0" w:after="0" w:line="408" w:lineRule="exact"/>
        <w:ind w:left="0" w:right="0" w:firstLine="576"/>
        <w:jc w:val="left"/>
      </w:pPr>
      <w:r>
        <w:rPr/>
        <w:t xml:space="preserve">(3) Preference </w:t>
      </w:r>
      <w:r>
        <w:t>((</w:t>
      </w:r>
      <w:r>
        <w:rPr>
          <w:strike/>
        </w:rPr>
        <w:t xml:space="preserve">shall</w:t>
      </w:r>
      <w:r>
        <w:t>))</w:t>
      </w:r>
      <w:r>
        <w:rPr/>
        <w:t xml:space="preserve"> </w:t>
      </w:r>
      <w:r>
        <w:rPr>
          <w:u w:val="single"/>
        </w:rPr>
        <w:t xml:space="preserve">must</w:t>
      </w:r>
      <w:r>
        <w:rPr/>
        <w:t xml:space="preserve"> be given for projects that include an early learning facility.</w:t>
      </w:r>
    </w:p>
    <w:p>
      <w:pPr>
        <w:spacing w:before="0" w:after="0" w:line="408" w:lineRule="exact"/>
        <w:ind w:left="0" w:right="0" w:firstLine="576"/>
        <w:jc w:val="left"/>
      </w:pPr>
      <w:r>
        <w:rPr/>
        <w:t xml:space="preserve">(4) Legislative appropriations from capital bond proceeds may be used only for the costs of projects authorized under subsection (2)(a), (i), and (j) of this section, and not for the administrative costs of the department.</w:t>
      </w:r>
    </w:p>
    <w:p>
      <w:pPr>
        <w:spacing w:before="0" w:after="0" w:line="408" w:lineRule="exact"/>
        <w:ind w:left="0" w:right="0" w:firstLine="576"/>
        <w:jc w:val="left"/>
      </w:pPr>
      <w:r>
        <w:rPr/>
        <w:t xml:space="preserve">(5)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(7) Administrative costs associated with compliance and monitoring activities of the department may not exceed one-quarter of one percent annually of the contracted amount of state investment in the housing assistance program.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2018.</w:t>
      </w:r>
    </w:p>
    <w:p>
      <w:pPr>
        <w:spacing w:before="0" w:after="0" w:line="408" w:lineRule="exact"/>
        <w:ind w:left="0" w:right="0" w:firstLine="576"/>
        <w:jc w:val="left"/>
      </w:pPr>
      <w:r>
        <w:rPr/>
        <w:t xml:space="preserve">Passed by the Senate March 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106c8e7d4d9646a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6719e331eb45ec" /><Relationship Type="http://schemas.openxmlformats.org/officeDocument/2006/relationships/footer" Target="/word/footer.xml" Id="R106c8e7d4d9646a9" /></Relationships>
</file>