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cc17db62641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1867</w:t>
      </w:r>
    </w:p>
    <w:p>
      <w:pPr>
        <w:jc w:val="center"/>
        <w:spacing w:before="480" w:after="0" w:line="240"/>
      </w:pPr>
      <w:r>
        <w:t xml:space="preserve">Chapter </w:t>
      </w:r>
      <w:r>
        <w:rPr/>
        <w:t xml:space="preserve">265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EXTENDED FOSTER CARE--REENROLLMENT--STUDY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93</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1867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11:04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1867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Fey, Stambaugh, Senn, Kagi, Kilduff, Appleton, Graves, Hudgins, Orwall, Ryu, Sells, Stanford, Robinson, McDonald, Ortiz-Self, Doglio, Slatter, Tharinger, and Ormsby)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transitions in extended foster care to increase housing stability for foster youth; amending RCW 74.13.031;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large number of foster youth experience homelessness. The legislature intends that individuals who are eligible for extended foster care services are able to receive those services to help prevent them from experiencing homelessness. The 2016 office of homeless youth annual report identifies ensuring that youth exiting public systems are not released into homelessness as a goal and recommends expanding options for youth to enroll in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 </w:t>
      </w:r>
      <w:r>
        <w:rPr>
          <w:u w:val="single"/>
        </w:rPr>
        <w:t xml:space="preserve">Eligible nonminor dependents may unenroll and reenroll in extended foster care through a voluntary placement agreement once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u w:val="single"/>
        </w:rPr>
        <w:t xml:space="preserve">(e) The department shall allow a youth who has received extended foster care services, but lost his or her eligibility, to reenter the extended foster care program once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study measuring the outcomes for youth who have received extended foster care services pursuant to RCW 74.13.031(11). The study should include measurements of any savings to state and local governments. The study should compare the outcomes for youth who have received extended foster care services pursuant to RCW 74.13.031(11) with youth who aged out of foster care when they reached eighteen years of age. To the extent possible, the study should also include a comparison of other state extended foster care programs and a review of studies that have been completed measuring the outcomes of those programs.</w:t>
      </w:r>
    </w:p>
    <w:p>
      <w:pPr>
        <w:spacing w:before="0" w:after="0" w:line="408" w:lineRule="exact"/>
        <w:ind w:left="0" w:right="0" w:firstLine="576"/>
        <w:jc w:val="left"/>
      </w:pPr>
      <w:r>
        <w:rPr/>
        <w:t xml:space="preserve">(2) The Washington state institute for public policy shall issue a report containing its preliminary findings to the legislature by December 1, 2018, and a final report by December 1, 2019.</w:t>
      </w:r>
    </w:p>
    <w:p>
      <w:pPr>
        <w:spacing w:before="0" w:after="0" w:line="408" w:lineRule="exact"/>
        <w:ind w:left="0" w:right="0" w:firstLine="576"/>
        <w:jc w:val="left"/>
      </w:pPr>
      <w:r>
        <w:rPr/>
        <w:t xml:space="preserve">(3) The Washington state institute for public policy is authorized to accept nonstate funds to conduct the study required in subsection (1) of this section.</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a75ab3eea8794d5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dbbca07c44f59" /><Relationship Type="http://schemas.openxmlformats.org/officeDocument/2006/relationships/footer" Target="/word/footer.xml" Id="Ra75ab3eea8794d5a" /></Relationships>
</file>