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8dc1cfad2d4a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1845</w:t>
      </w:r>
    </w:p>
    <w:p>
      <w:pPr>
        <w:jc w:val="center"/>
        <w:spacing w:before="480" w:after="0" w:line="240"/>
      </w:pPr>
      <w:r>
        <w:t xml:space="preserve">Chapter </w:t>
      </w:r>
      <w:r>
        <w:rPr/>
        <w:t xml:space="preserve">307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ELECTRONIC INSURANCE NOTICES AND DOCUMENTS--DIGITAL SIGNATURE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1845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10:45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Vick, Kirby, and Haler)</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delivery of insurance notices and documents by electronic means; and amending RCW 48.185.005.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185</w:t>
      </w:r>
      <w:r>
        <w:rPr/>
        <w:t xml:space="preserve">.</w:t>
      </w:r>
      <w:r>
        <w:t xml:space="preserve">005</w:t>
      </w:r>
      <w:r>
        <w:rPr/>
        <w:t xml:space="preserve"> and 2015 c 263 s 1 are each amended to read as follows:</w:t>
      </w:r>
    </w:p>
    <w:p>
      <w:pPr>
        <w:spacing w:before="0" w:after="0" w:line="408" w:lineRule="exact"/>
        <w:ind w:left="0" w:right="0" w:firstLine="576"/>
        <w:jc w:val="left"/>
      </w:pP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so long as it meets the requirements of the Washington electronic authentication act (chapter 19.34 RCW). </w:t>
      </w:r>
      <w:r>
        <w:rPr>
          <w:u w:val="single"/>
        </w:rPr>
        <w:t xml:space="preserve">An electronic signature is the equivalent of a digital signature, as those terms are defined in chapter 19.34 RCW, for the purposes of satisfying the requirements of chapter 19.34 RCW under this chapter.</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in paper form;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July 24, 2015,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July 24, 2015,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5,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b39ac1c0df9e4f9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278fa0f2c94113" /><Relationship Type="http://schemas.openxmlformats.org/officeDocument/2006/relationships/footer" Target="/word/footer.xml" Id="Rb39ac1c0df9e4f98" /></Relationships>
</file>