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6b7783a74f4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1790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17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DEPENDENCY PETITIONS BY DEPARTMENT OF SOCIAL AND HEALTH SERVICES--PAID PROBATION OFFICERS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24,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1790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9, 2018 1:41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9,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1790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Lovick, Dent, Kagi, Frame, and Jinkins; by request of Department of Social and Health Services</w:t>
      </w:r>
    </w:p>
    <w:p/>
    <w:p>
      <w:r>
        <w:rPr>
          <w:t xml:space="preserve">Read first time 01/30/17.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dependency petitions where the department of social and health services is the petitioner; and amending RCW 13.34.040.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13</w:t>
      </w:r>
      <w:r>
        <w:rPr/>
        <w:t xml:space="preserve">.</w:t>
      </w:r>
      <w:r>
        <w:t xml:space="preserve">34</w:t>
      </w:r>
      <w:r>
        <w:rPr/>
        <w:t xml:space="preserve">.</w:t>
      </w:r>
      <w:r>
        <w:t xml:space="preserve">040</w:t>
      </w:r>
      <w:r>
        <w:rPr/>
        <w:t xml:space="preserve"> and 2011 c 309 s 23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person may file with the clerk of the superior court a petition showing that there is within the county, or residing within the county, a dependent child and requesting that the superior court deal with such child as provided in this chapter. There shall be no fee for filing such petitions.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Except where the department is the petitioner, i</w:t>
      </w:r>
      <w:r>
        <w:rPr/>
        <w:t xml:space="preserve">n counties having paid probation officers, these officers shall, to the extent possible, first determine if a petition is reasonably justifiable. Each petition shall be verified and contain a statement of facts constituting a dependency, and the names and residence, if known to the petitioner, of the parents, guardian, or custodian of the alleged dependent 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Every petition filed in proceedings under this chapter shall contain a statement alleging whether the child is or may be an Indian child as defined in RCW 13.38.040. If the child is an Indian child chapter 13.38 RCW shall apply.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order or decree entered under this chapter shall contain a finding that the federal Indian child welfare act or chapter 13.38 RCW does or does not apply. Where there is a finding that the federal Indian child welfare act or chapter 13.38 RCW does apply, the decree or order must also contain a finding that all notice requirements and evidentiary requirements under the federal Indian child welfare act and chapter 13.38 RCW have been satisfied.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January 24,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9,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9, 2018.</w:t>
      </w:r>
    </w:p>
    <w:sectPr>
      <w:pgNumType w:start="1"/>
      <w:footerReference xmlns:r="http://schemas.openxmlformats.org/officeDocument/2006/relationships" r:id="R13b5cea9dfe54c23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1790.SL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b41cc96e4e4b" /><Relationship Type="http://schemas.openxmlformats.org/officeDocument/2006/relationships/footer" Target="/word/footer.xml" Id="R13b5cea9dfe54c23" /></Relationships>
</file>