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bdf997e7804a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1732</w:t>
      </w:r>
    </w:p>
    <w:p>
      <w:pPr>
        <w:jc w:val="center"/>
        <w:spacing w:before="480" w:after="0" w:line="240"/>
      </w:pPr>
      <w:r>
        <w:t xml:space="preserve">Chapter </w:t>
      </w:r>
      <w:r>
        <w:rPr/>
        <w:t xml:space="preserve">16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EDUCATOR PROFESSIONAL GROWTH PLANS--PUBLIC RECORDS ACT EXEMPTION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11:26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Springer and Bergquist; by request of Professional Educator Standards Board</w:t>
      </w:r>
    </w:p>
    <w:p/>
    <w:p>
      <w:r>
        <w:rPr>
          <w:t xml:space="preserve">Read first time 01/27/17.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educator professional growth plans;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w:t>
      </w:r>
      <w:r>
        <w:rPr>
          <w:u w:val="single"/>
        </w:rPr>
        <w:t xml:space="preserve">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u w:val="single"/>
        </w:rPr>
        <w:t xml:space="preserve">(4)</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b285e30cef664fd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d8d9d2d8d4362" /><Relationship Type="http://schemas.openxmlformats.org/officeDocument/2006/relationships/footer" Target="/word/footer.xml" Id="Rb285e30cef664fd4" /></Relationships>
</file>