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cfe85d9654282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1721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203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NONTRADITIONAL REGISTERED NURSING EDUCATION--LICENSED PRACTICAL NURSES--PRECEPTORSHIP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7,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85</w:t>
            </w:r>
            <w:r>
              <w:t xml:space="preserve">  Nays </w:t>
              <w:t xml:space="preserve">12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11,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1721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May 5, 2017 10:21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May 5,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1721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Cody, Haler, Muri, Goodman, and Jinkins; by request of Department of Health and Nursing Care Quality Assurance Commission</w:t>
      </w:r>
    </w:p>
    <w:p/>
    <w:p>
      <w:r>
        <w:rPr>
          <w:t xml:space="preserve">Read first time 01/27/17.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obtaining required clinical experience for licensed practical nurses who complete a nontraditional registered nurse program; and repealing RCW 18.79.380.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79</w:t>
      </w:r>
      <w:r>
        <w:rPr/>
        <w:t xml:space="preserve">.</w:t>
      </w:r>
      <w:r>
        <w:t xml:space="preserve">380</w:t>
      </w:r>
      <w:r>
        <w:rPr/>
        <w:t xml:space="preserve"> (Licensed practical nurse/nontraditional registered nurse program</w:t>
      </w:r>
      <w:r>
        <w:rPr>
          <w:rFonts w:ascii="Times New Roman" w:hAnsi="Times New Roman"/>
        </w:rPr>
        <w:t xml:space="preserve">—</w:t>
      </w:r>
      <w:r>
        <w:rPr/>
        <w:t xml:space="preserve">Obtaining required clinical experience) and 2004 c 262 s 7 are each repealed.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7,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11,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May 5,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May 5, 2017.</w:t>
      </w:r>
    </w:p>
    <w:sectPr>
      <w:pgNumType w:start="1"/>
      <w:footerReference xmlns:r="http://schemas.openxmlformats.org/officeDocument/2006/relationships" r:id="R426b08fcaaeb42f4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1721.SL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71f4213014650" /><Relationship Type="http://schemas.openxmlformats.org/officeDocument/2006/relationships/footer" Target="/word/footer.xml" Id="R426b08fcaaeb42f4" /></Relationships>
</file>