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d365faffb24d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1683</w:t>
      </w:r>
    </w:p>
    <w:p>
      <w:pPr>
        <w:jc w:val="center"/>
        <w:spacing w:before="480" w:after="0" w:line="240"/>
      </w:pPr>
      <w:r>
        <w:t xml:space="preserve">Chapter </w:t>
      </w:r>
      <w:r>
        <w:rPr/>
        <w:t xml:space="preserve">305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SEWER SERVICE--URBAN GROWTH AREAS--EXCEPTIONS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10:42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1683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Environment (originally sponsored by Representatives Appleton and Griffey)</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sewer service within urban growth areas; and amending RCW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2010 c 211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 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 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u w:val="single"/>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u w:val="single"/>
        </w:rPr>
        <w:t xml:space="preserve">(a)(i) Have existing, functioning, nonpolluting on-site sewage systems;</w:t>
      </w:r>
    </w:p>
    <w:p>
      <w:pPr>
        <w:spacing w:before="0" w:after="0" w:line="408" w:lineRule="exact"/>
        <w:ind w:left="0" w:right="0" w:firstLine="576"/>
        <w:jc w:val="left"/>
      </w:pPr>
      <w:r>
        <w:rPr>
          <w:u w:val="single"/>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u w:val="single"/>
        </w:rPr>
        <w:t xml:space="preserve">(iii) Have no redevelopment capacity; or</w:t>
      </w:r>
    </w:p>
    <w:p>
      <w:pPr>
        <w:spacing w:before="0" w:after="0" w:line="408" w:lineRule="exact"/>
        <w:ind w:left="0" w:right="0" w:firstLine="576"/>
        <w:jc w:val="left"/>
      </w:pPr>
      <w:r>
        <w:rPr>
          <w:u w:val="single"/>
        </w:rPr>
        <w:t xml:space="preserve">(b) Do not require sewer service because development densities are limited due to wetlands, flood plains, fish and wildlife habitats, or geological hazards.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fcc1215bd3af47f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a5363e57254b1b" /><Relationship Type="http://schemas.openxmlformats.org/officeDocument/2006/relationships/footer" Target="/word/footer.xml" Id="Rfcc1215bd3af47fc" /></Relationships>
</file>