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2016ddb384951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SUBSTITUTE HOUSE BILL 1503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105</w:t>
      </w:r>
      <w:r>
        <w:t xml:space="preserve">, Laws of 2017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2017 Regular Session</w:t>
      </w:r>
    </w:p>
    <w:p>
      <w:pPr>
        <w:jc w:val="center"/>
        <w:spacing w:before="480" w:after="0" w:line="240"/>
      </w:pPr>
      <w:r>
        <w:rPr/>
        <w:t xml:space="preserve">ON-SITE SEWAGE SYSTEMS--SELF-INSPECTION--GROWTH MANAGEMENT ACT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7/23/2017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8,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91</w:t>
            </w:r>
            <w:r>
              <w:t xml:space="preserve">  Nays </w:t>
              <w:t xml:space="preserve">6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5,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SUBSTITUTE HOUSE BILL 1503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April 21, 2017 10:47 AM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April 21, 2017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HOUSE BILL 1503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House Environment (originally sponsored by Representatives Short, Taylor, Van Werven, Buys, Haler, Kraft, and Hargrove)</w:t>
      </w:r>
    </w:p>
    <w:p/>
    <w:p>
      <w:r>
        <w:rPr>
          <w:t xml:space="preserve">READ FIRST TIME 02/17/17.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preventing unfunded mandates involving on-site sewage systems from affecting local governments and property owners; adding a new section to chapter 36.70A RCW; adding a new section to chapter 70.118A RCW; and adding a new section to chapter 70.05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36</w:t>
      </w:r>
      <w:r>
        <w:rPr/>
        <w:t xml:space="preserve">.</w:t>
      </w:r>
      <w:r>
        <w:t xml:space="preserve">70A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This chapter does not preclude counties from authorizing inspections of on-site sewage systems to be conducted by a homeowner, a homeowner's family member, or a homeowner's tenant that has completed certification requirements specified by the county. Nothing in this section eliminates the requirement that counties protect water quality consistent with RCW 36.70A.070 (1) and (5).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118A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Nothing in this chapter prohibits a county from relying on self-inspection of on-site sewage systems consistent with section 1 of this act or eliminates the requirement that counties protect water quality consistent with RCW 36.70A.070 (1) and (5).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05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Nothing in this chapter prohibits a county from relying on self-inspection of on-site sewage systems consistent with section 1 of this act or eliminates the requirement that counties protect water quality consistent with RCW 36.70A.070 (1) and (5).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March 8,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April 5,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April 21,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April 21, 2017.</w:t>
      </w:r>
    </w:p>
    <w:sectPr>
      <w:pgNumType w:start="1"/>
      <w:footerReference xmlns:r="http://schemas.openxmlformats.org/officeDocument/2006/relationships" r:id="R51d18ef9ace94fab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ESHB 1503.SL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0e0597aab48bf" /><Relationship Type="http://schemas.openxmlformats.org/officeDocument/2006/relationships/footer" Target="/word/footer.xml" Id="R51d18ef9ace94fab" /></Relationships>
</file>