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84b8df9ee54f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1401</w:t>
      </w:r>
    </w:p>
    <w:p>
      <w:pPr>
        <w:jc w:val="center"/>
        <w:spacing w:before="480" w:after="0" w:line="240"/>
      </w:pPr>
      <w:r>
        <w:t xml:space="preserve">Chapter </w:t>
      </w:r>
      <w:r>
        <w:rPr/>
        <w:t xml:space="preserve">99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CHILD WELFARE--GUARDIAN AD LITEMS AND COURT-APPOINTED SPECIAL ADVOCATES--REMOVAL</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10:36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1401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Ortiz-Self, Stonier, Ryu, Peterson, Santos, Jinkins, Appleton, and Bergquist</w:t>
      </w:r>
    </w:p>
    <w:p/>
    <w:p>
      <w:r>
        <w:rPr>
          <w:t xml:space="preserve">Read first time 01/19/17.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removal of child welfare guardians ad litem; amending RCW 13.34.100;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integrity of court-appointed special advocates and volunteer guardians ad litem is necessary to protect the best interest of children in child welfare proceedings.</w:t>
      </w:r>
    </w:p>
    <w:p>
      <w:pPr>
        <w:spacing w:before="0" w:after="0" w:line="408" w:lineRule="exact"/>
        <w:ind w:left="0" w:right="0" w:firstLine="576"/>
        <w:jc w:val="left"/>
      </w:pPr>
      <w:r>
        <w:rPr/>
        <w:t xml:space="preserve">Although courts must be notified regarding the removal of a guardian ad litem from a county's registry pursuant to a grievance, there is no requirement that a county must act on that information. For that reason, the legislature intends to require counties to remove child welfare volunteer guardians ad litem from their registries when counties are notified that the person has been removed from another county's registry pursuant to the disposition of a grievance or if the court is otherwise made aware that a guardian ad litem has been found by a court to have made a materially false statement that he or she knows to be false during an official proceeding under oath.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2014 c 108 s 2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ten years prior to the appointment.</w:t>
      </w:r>
    </w:p>
    <w:p>
      <w:pPr>
        <w:spacing w:before="0" w:after="0" w:line="408" w:lineRule="exact"/>
        <w:ind w:left="0" w:right="0" w:firstLine="576"/>
        <w:jc w:val="left"/>
      </w:pPr>
      <w:r>
        <w:rPr/>
        <w:t xml:space="preserve">The background information record shall be updated annually.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The portion of the background information record containing the results of the criminal background check and the criminal history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(6)(a) The court must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The court must appoint an attorney for a child when there is no remaining parent with parental rights for six months or longer prior to July 1, 2014, if the child is not already represented.</w:t>
      </w:r>
    </w:p>
    <w:p>
      <w:pPr>
        <w:spacing w:before="0" w:after="0" w:line="408" w:lineRule="exact"/>
        <w:ind w:left="0" w:right="0" w:firstLine="576"/>
        <w:jc w:val="left"/>
      </w:pPr>
      <w:r>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(b) 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(c)(i)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(c)(ii) of this subsection.</w:t>
      </w:r>
    </w:p>
    <w:p>
      <w:pPr>
        <w:spacing w:before="0" w:after="0" w:line="408" w:lineRule="exact"/>
        <w:ind w:left="0" w:right="0" w:firstLine="576"/>
        <w:jc w:val="left"/>
      </w:pPr>
      <w:r>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(c)(i) of this subsection and RCW 2.53.045.</w:t>
      </w:r>
    </w:p>
    <w:p>
      <w:pPr>
        <w:spacing w:before="0" w:after="0" w:line="408" w:lineRule="exact"/>
        <w:ind w:left="0" w:right="0" w:firstLine="576"/>
        <w:jc w:val="left"/>
      </w:pPr>
      <w:r>
        <w:rPr/>
        <w:t xml:space="preserve">(iii) The office of civil legal aid is responsible for implementation of (c)(i) and (ii) of this subsection as provided in RCW 2.53.045.</w:t>
      </w:r>
    </w:p>
    <w:p>
      <w:pPr>
        <w:spacing w:before="0" w:after="0" w:line="408" w:lineRule="exact"/>
        <w:ind w:left="0" w:right="0" w:firstLine="576"/>
        <w:jc w:val="left"/>
      </w:pPr>
      <w:r>
        <w:rPr/>
        <w:t xml:space="preserve">(7)(a)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(7)(b) shall be construed to change or alter the confidentiality provisions of RCW 13.50.100.</w:t>
      </w:r>
    </w:p>
    <w:p>
      <w:pPr>
        <w:spacing w:before="0" w:after="0" w:line="408" w:lineRule="exact"/>
        <w:ind w:left="0" w:right="0" w:firstLine="576"/>
        <w:jc w:val="left"/>
      </w:pPr>
      <w:r>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t xml:space="preserve">(i) The date of the child's twelfth birthday;</w:t>
      </w:r>
    </w:p>
    <w:p>
      <w:pPr>
        <w:spacing w:before="0" w:after="0" w:line="408" w:lineRule="exact"/>
        <w:ind w:left="0" w:right="0" w:firstLine="576"/>
        <w:jc w:val="left"/>
      </w:pPr>
      <w:r>
        <w:rPr/>
        <w:t xml:space="preserve">(ii) Assignment of a case involving a child age twelve or older; or</w:t>
      </w:r>
    </w:p>
    <w:p>
      <w:pPr>
        <w:spacing w:before="0" w:after="0" w:line="408" w:lineRule="exact"/>
        <w:ind w:left="0" w:right="0" w:firstLine="576"/>
        <w:jc w:val="left"/>
      </w:pPr>
      <w:r>
        <w:rPr/>
        <w:t xml:space="preserve">(iii) July 1, 2010, for a child who turned twelve years old before July 1, 2010.</w:t>
      </w:r>
    </w:p>
    <w:p>
      <w:pPr>
        <w:spacing w:before="0" w:after="0" w:line="408" w:lineRule="exact"/>
        <w:ind w:left="0" w:right="0" w:firstLine="576"/>
        <w:jc w:val="left"/>
      </w:pPr>
      <w:r>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twelfth birthday;</w:t>
      </w:r>
    </w:p>
    <w:p>
      <w:pPr>
        <w:spacing w:before="0" w:after="0" w:line="408" w:lineRule="exact"/>
        <w:ind w:left="0" w:right="0" w:firstLine="576"/>
        <w:jc w:val="left"/>
      </w:pPr>
      <w:r>
        <w:rPr/>
        <w:t xml:space="preserve">(ii) The date that a dependency petition is filed pursuant to this chapter on a child age twelve or older; or</w:t>
      </w:r>
    </w:p>
    <w:p>
      <w:pPr>
        <w:spacing w:before="0" w:after="0" w:line="408" w:lineRule="exact"/>
        <w:ind w:left="0" w:right="0" w:firstLine="576"/>
        <w:jc w:val="left"/>
      </w:pPr>
      <w:r>
        <w:rPr/>
        <w:t xml:space="preserve">(iii) July 1, 2010, for a child who turned twelve years old before July 1, 2010;</w:t>
      </w:r>
    </w:p>
    <w:p>
      <w:pPr>
        <w:spacing w:before="0" w:after="0" w:line="408" w:lineRule="exact"/>
        <w:ind w:left="0" w:right="0" w:firstLine="0"/>
        <w:jc w:val="left"/>
      </w:pPr>
      <w:r>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t xml:space="preserve">(8)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rPr/>
        <w:t xml:space="preserve">(9)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rPr/>
        <w:t xml:space="preserve">(10)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0" w:after="0" w:line="408" w:lineRule="exact"/>
        <w:ind w:left="0" w:right="0" w:firstLine="576"/>
        <w:jc w:val="left"/>
      </w:pPr>
      <w:r>
        <w:rPr>
          <w:u w:val="single"/>
        </w:rPr>
        <w:t xml:space="preserve">(11) The court shall remove any person from serving as a court-appointed special advocate or volunteer guardian ad litem if the court is notified that the person has been removed from another county's registry pursuant to the disposition of a grievance or if the court is otherwise made aware that the individual was found by a court to have made a materially false statement that he or she knows to be false during an official proceeding under oath.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1aed928b3416423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84fdb6a9274f0d" /><Relationship Type="http://schemas.openxmlformats.org/officeDocument/2006/relationships/footer" Target="/word/footer.xml" Id="R1aed928b34164231" /></Relationships>
</file>