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3d82a793647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1388</w:t>
      </w:r>
    </w:p>
    <w:p>
      <w:pPr>
        <w:jc w:val="center"/>
        <w:spacing w:before="480" w:after="0" w:line="240"/>
      </w:pPr>
      <w:r>
        <w:t xml:space="preserve">Chapter </w:t>
      </w:r>
      <w:r>
        <w:rPr/>
        <w:t xml:space="preserve">201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BEHAVIORAL HEALTH AUTHORITY--TRANSFER</w:t>
      </w:r>
    </w:p>
    <w:p>
      <w:pPr>
        <w:spacing w:before="720" w:after="240" w:line="240" w:lineRule="exact"/>
        <w:ind w:left="0" w:right="0" w:firstLine="576"/>
        <w:jc w:val="left"/>
      </w:pPr>
      <w:r>
        <w:t xml:space="preserve">EFFECTIVE DATE: </w:t>
      </w:r>
      <w:r>
        <w:rPr/>
        <w:t xml:space="preserve">July 1, 2018</w:t>
      </w:r>
      <w:r>
        <w:rPr>
          <w:rFonts w:ascii="Times New Roman" w:hAnsi="Times New Roman"/>
        </w:rPr>
        <w:t xml:space="preserve">—</w:t>
      </w:r>
      <w:r>
        <w:rPr/>
        <w:t xml:space="preserve">Except for sections 3010, 3013, 3027, 5018, and 5021, which become effective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44</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1388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3:18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1388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Rodne, Harris, Macri, and Frame; by request of Governor Inslee)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43.20A.065, 43.20A.433, 43.20A.890, 43.20A.892, 43.20A.893, 43.20A.894, 43.20A.896, 43.20A.897, 74.04.015, 71.05.020, 71.05.026, 71.05.027, 71.05.040, 71.05.100, 71.05.203, 71.05.214, 71.05.240, 71.05.285, 71.05.320, 71.05.325, 71.05.330, 71.05.335, 71.05.340, 71.05.350, 71.05.435, 71.05.510, 71.05.520, 71.05.525, 71.05.560, 71.05.590, 71.05.590, 71.05.620, 71.05.720, 71.05.732, 71.05.740, 71.05.745, 71.05.750, 71.05.755, 71.05.760, 71.05.801, 71.05.940, 71.24.015, 71.24.030, 71.24.035, 71.24.037, 71.24.045, 71.24.061, 71.24.100, 71.24.155, 71.24.160, 71.24.215, 71.24.220, 71.24.240, 71.24.300, 71.24.310, 71.24.320,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71.34.380, 71.34.385, 71.34.390, 71.34.395, 71.34.400, 71.34.405, 71.34.420, 71.34.600, 71.34.610, 71.34.630, 71.34.640, 71.34.720, 71.34.760, 71.34.780, 71.34.780, 71.34.790, 71.36.025, 71.36.040, 71.36.060, 9.41.047, 9.41.090, 9.41.094, 9.41.097, 9.41.173, 9.41.300, 41.05.015, 41.05.021, 41.05A.005, 74.09.050, 74.09.055, 74.09.080, 74.09.120, 74.09.160, 74.09.210, 74.09.220, 74.09.230, 74.09.240, 74.09.260, 74.09.280, 74.09.290, 74.09.315, 74.09.522, 74.09.530, 74.09.540, 74.09.730, 74.09.780, 74.64.010, 74.66.010, 70.02.010, 70.02.230, 70.02.240, 70.02.250, 70.02.260, 70.02.340, 70.02.350, 42.56.270, 43.70.080, 43.59.030, 48.21.180, 48.44.240, 48.46.350, 69.50.540, 2.30.020, 2.30.030, 9.41.300, 9.94A.703, 10.05.040, 10.05.050, 18.205.080, 18.88A.020, 46.61.5056, 72.09.350, 72.09.370, 72.09.380, 72.09.381, and 72.09.585; reenacting and amending RCW 71.05.215, 71.05.240, 71.05.320, 71.05.425, 71.05.445, 71.24.025, 71.24.600, 71.34.020, 71.34.720, 71.36.010, 9.41.070, 46.61.5055, and 74.34.020; adding new sections to chapter 71.24 RCW; adding new sections to chapter 41.05 RCW; adding a new section to chapter 43.70 RCW; adding a new section to chapter 71.34 RCW; adding new sections to chapter 74.09 RCW; creating new sections; recodifying RCW 43.20A.025, 43.20A.065, 43.20A.433, 43.20A.890, 43.20A.892, 43.20A.893, 43.20A.894, 43.20A.896, and 43.20A.897; decodifying RCW 71.24.065;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w:t>
      </w:r>
      <w:r>
        <w:t>((</w:t>
      </w:r>
      <w:r>
        <w:rPr>
          <w:strike/>
        </w:rPr>
        <w:t xml:space="preserve">department or the 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w:t>
      </w:r>
      <w:r>
        <w:t>((</w:t>
      </w:r>
      <w:r>
        <w:rPr>
          <w:strike/>
        </w:rPr>
        <w:t xml:space="preserve">of health</w:t>
      </w:r>
      <w:r>
        <w:t>))</w:t>
      </w:r>
      <w:r>
        <w:rPr/>
        <w:t xml:space="preserve">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w:t>
      </w:r>
      <w:r>
        <w:t>((</w:t>
      </w:r>
      <w:r>
        <w:rPr>
          <w:strike/>
        </w:rPr>
        <w:t xml:space="preserve">of health</w:t>
      </w:r>
      <w:r>
        <w:t>))</w:t>
      </w:r>
      <w:r>
        <w:rPr/>
        <w:t xml:space="preserve">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2017 3rd sp.s. c 14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p>
    <w:p>
      <w:pPr>
        <w:spacing w:before="0" w:after="0" w:line="408" w:lineRule="exact"/>
        <w:ind w:left="0" w:right="0" w:firstLine="576"/>
        <w:jc w:val="left"/>
      </w:pPr>
      <w:r>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9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2017 3rd sp.s. c 14 s 21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physician assistant working with a supervising psychiatrist,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w:t>
      </w:r>
      <w:r>
        <w:rPr>
          <w:u w:val="single"/>
        </w:rPr>
        <w:t xml:space="preserve">licensed or</w:t>
      </w:r>
      <w:r>
        <w:rPr/>
        <w:t xml:space="preserve">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w:t>
      </w:r>
      <w:r>
        <w:t>((</w:t>
      </w:r>
      <w:r>
        <w:rPr>
          <w:strike/>
        </w:rPr>
        <w:t xml:space="preserve">and</w:t>
      </w:r>
      <w:r>
        <w:t>))</w:t>
      </w:r>
      <w:r>
        <w:rPr/>
        <w:t xml:space="preserve"> </w:t>
      </w:r>
      <w:r>
        <w:rPr>
          <w:u w:val="single"/>
        </w:rPr>
        <w:t xml:space="preserve">or</w:t>
      </w:r>
      <w:r>
        <w:rPr/>
        <w:t xml:space="preserve">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w:t>
      </w:r>
      <w:r>
        <w:rPr>
          <w:u w:val="single"/>
        </w:rPr>
        <w:t xml:space="preserve">and substance use disorder</w:t>
      </w:r>
      <w:r>
        <w:rPr/>
        <w:t xml:space="preserve">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and substance use disorder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w:t>
      </w:r>
      <w:r>
        <w:rPr>
          <w:u w:val="single"/>
        </w:rPr>
        <w:t xml:space="preserve">licensed under chapter 71.12 RCW or</w:t>
      </w:r>
      <w:r>
        <w:rPr/>
        <w:t xml:space="preserve">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2017 c 330 s 2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(14) Any settlement agreement entered into between the department and licensed </w:t>
      </w:r>
      <w:r>
        <w:rPr>
          <w:u w:val="single"/>
        </w:rPr>
        <w:t xml:space="preserve">or certified</w:t>
      </w:r>
      <w:r>
        <w:rPr/>
        <w:t xml:space="preserve"> behavioral health service providers to resolve administrative complaints, license </w:t>
      </w:r>
      <w:r>
        <w:rPr>
          <w:u w:val="single"/>
        </w:rPr>
        <w:t xml:space="preserve">or certification</w:t>
      </w:r>
      <w:r>
        <w:rPr/>
        <w:t xml:space="preserve"> violations, license </w:t>
      </w:r>
      <w:r>
        <w:rPr>
          <w:u w:val="single"/>
        </w:rPr>
        <w:t xml:space="preserve">or certification</w:t>
      </w:r>
      <w:r>
        <w:rPr/>
        <w:t xml:space="preserve"> suspensions, or license </w:t>
      </w:r>
      <w:r>
        <w:rPr>
          <w:u w:val="single"/>
        </w:rPr>
        <w:t xml:space="preserve">or certification</w:t>
      </w:r>
      <w:r>
        <w:rPr/>
        <w:t xml:space="preserve"> revocations may not reduce the number of violations reported by the department unless the department concludes, based on evidence gathered by inspectors, that the licensed </w:t>
      </w:r>
      <w:r>
        <w:rPr>
          <w:u w:val="single"/>
        </w:rPr>
        <w:t xml:space="preserve">or certified</w:t>
      </w:r>
      <w:r>
        <w:rPr/>
        <w:t xml:space="preserve"> behavioral health service provider did not commit one or more of the violations.</w:t>
      </w:r>
    </w:p>
    <w:p>
      <w:pPr>
        <w:spacing w:before="0" w:after="0" w:line="408" w:lineRule="exact"/>
        <w:ind w:left="0" w:right="0" w:firstLine="576"/>
        <w:jc w:val="left"/>
      </w:pPr>
      <w:r>
        <w:rPr/>
        <w:t xml:space="preserve">(15) In cases in which a behavioral health service provider that is in violation of licensing </w:t>
      </w:r>
      <w:r>
        <w:rPr>
          <w:u w:val="single"/>
        </w:rPr>
        <w:t xml:space="preserve">or certification</w:t>
      </w:r>
      <w:r>
        <w:rPr/>
        <w:t xml:space="preserve"> standards attempts to transfer or sell the behavioral health service provider to a family member, the transfer or sale may only be made for the purpose of remedying license </w:t>
      </w:r>
      <w:r>
        <w:rPr>
          <w:u w:val="single"/>
        </w:rPr>
        <w:t xml:space="preserve">or certification</w:t>
      </w:r>
      <w:r>
        <w:rPr/>
        <w:t xml:space="preserve"> violations and achieving full compliance with the terms of the license </w:t>
      </w:r>
      <w:r>
        <w:rPr>
          <w:u w:val="single"/>
        </w:rPr>
        <w:t xml:space="preserve">or certification</w:t>
      </w:r>
      <w:r>
        <w:rPr/>
        <w:t xml:space="preserve">. Transfers or sales to family members are prohibited in cases in which the purpose of the transfer or sale is to avoid liability or reset the number of license </w:t>
      </w:r>
      <w:r>
        <w:rPr>
          <w:u w:val="single"/>
        </w:rPr>
        <w:t xml:space="preserve">or certification</w:t>
      </w:r>
      <w:r>
        <w:rPr/>
        <w:t xml:space="preserve">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w:t>
      </w:r>
      <w:r>
        <w:rPr>
          <w:u w:val="single"/>
        </w:rPr>
        <w:t xml:space="preserve">or certification</w:t>
      </w:r>
      <w:r>
        <w:rPr/>
        <w:t xml:space="preserve"> or issue a new license </w:t>
      </w:r>
      <w:r>
        <w:rPr>
          <w:u w:val="single"/>
        </w:rPr>
        <w:t xml:space="preserve">or certification</w:t>
      </w:r>
      <w:r>
        <w:rPr/>
        <w:t xml:space="preserve"> to the behavioral health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2017 c 222 s 1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 Reimbursements must be calculated using quarterly average census data to determine an average number of days used in excess of the bed allocation for the quarter.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w:t>
      </w:r>
      <w:r>
        <w:t>((</w:t>
      </w:r>
      <w:r>
        <w:rPr>
          <w:strik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t>))</w:t>
      </w:r>
      <w:r>
        <w:rPr/>
        <w:t xml:space="preserve"> During the 2017-2019 fiscal biennium, the legislature may direct the state treasurer to make transfers of moneys in the criminal justice treatment account to the state general fund. It is the intent of the legislature to continue, in future biennia,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2017 c 297 s 14 are each amended to read as follows:</w:t>
      </w:r>
    </w:p>
    <w:p>
      <w:pPr>
        <w:spacing w:before="0" w:after="0" w:line="408" w:lineRule="exact"/>
        <w:ind w:left="0" w:right="0" w:firstLine="576"/>
        <w:jc w:val="left"/>
      </w:pPr>
      <w:r>
        <w:rPr/>
        <w:t xml:space="preserve">(1) 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w:t>
      </w:r>
      <w:r>
        <w:rPr>
          <w:u w:val="single"/>
        </w:rPr>
        <w:t xml:space="preserve">licensing or</w:t>
      </w:r>
      <w:r>
        <w:rPr/>
        <w:t xml:space="preserve">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(4) For the purpose of this chapter, opioid treatment program means:</w:t>
      </w:r>
    </w:p>
    <w:p>
      <w:pPr>
        <w:spacing w:before="0" w:after="0" w:line="408" w:lineRule="exact"/>
        <w:ind w:left="0" w:right="0" w:firstLine="576"/>
        <w:jc w:val="left"/>
      </w:pPr>
      <w:r>
        <w:rPr/>
        <w:t xml:space="preserve">(a) Dispensing a medication approved by the federal drug administration for the treatment of opioid use disorder and dispensing medication for the reversal of opioid overdose;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2017 c 297 s 16 are each amended to read as follows:</w:t>
      </w:r>
    </w:p>
    <w:p>
      <w:pPr>
        <w:spacing w:before="0" w:after="0" w:line="408" w:lineRule="exact"/>
        <w:ind w:left="0" w:right="0" w:firstLine="576"/>
        <w:jc w:val="left"/>
      </w:pPr>
      <w:r>
        <w:rPr/>
        <w:t xml:space="preserve">(1) The department, in consultation with opioid treatment program service providers and counties and cities, shall establish statewide treatment standards for </w:t>
      </w:r>
      <w:r>
        <w:rPr>
          <w:u w:val="single"/>
        </w:rPr>
        <w:t xml:space="preserve">licensed or</w:t>
      </w:r>
      <w:r>
        <w:rPr/>
        <w:t xml:space="preserve">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w:t>
      </w:r>
      <w:r>
        <w:t>((</w:t>
      </w:r>
      <w:r>
        <w:rPr>
          <w:strike/>
        </w:rPr>
        <w:t xml:space="preserve">and</w:t>
      </w:r>
      <w:r>
        <w:t>))</w:t>
      </w:r>
      <w:r>
        <w:rPr/>
        <w:t xml:space="preserve"> </w:t>
      </w:r>
      <w:r>
        <w:rPr>
          <w:u w:val="single"/>
        </w:rPr>
        <w:t xml:space="preserve">or</w:t>
      </w:r>
      <w:r>
        <w:rPr/>
        <w:t xml:space="preserve">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rPr/>
        <w:t xml:space="preserve">(3)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secretary shall license or certify triage facilities that meet state minimum standards. The standards for certification or licensure of triage facilities by the department must include standards related to the ability to assess and stabilize an individual or determine the need for involuntary commitment of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upon the request of a county authority or authorities within a regional service area, collaborate with counties to create an interlocal leadership structure that includes participation from counties and the managed health care systems serving that regional service area. The interlocal leadership structure must include representation from physical and behavioral health care providers, tribes, and other entities serving the regional service area as necessary.</w:t>
      </w:r>
    </w:p>
    <w:p>
      <w:pPr>
        <w:spacing w:before="0" w:after="0" w:line="408" w:lineRule="exact"/>
        <w:ind w:left="0" w:right="0" w:firstLine="576"/>
        <w:jc w:val="left"/>
      </w:pPr>
      <w:r>
        <w:rPr/>
        <w:t xml:space="preserve">(2) The interlocal leadership structure regional organization must be chaired by the counties and jointly administered by the authority, managed health care systems, and counties. It must design and implement the fully integrated managed care model for that regional service area to assure clients are at the center of care delivery and support integrated delivery of physical and behavioral health care at the provider level.</w:t>
      </w:r>
    </w:p>
    <w:p>
      <w:pPr>
        <w:spacing w:before="0" w:after="0" w:line="408" w:lineRule="exact"/>
        <w:ind w:left="0" w:right="0" w:firstLine="576"/>
        <w:jc w:val="left"/>
      </w:pPr>
      <w:r>
        <w:rPr/>
        <w:t xml:space="preserve">(3) The interlocal leadership structure may address, but is not limited to addressing, the following topics:</w:t>
      </w:r>
    </w:p>
    <w:p>
      <w:pPr>
        <w:spacing w:before="0" w:after="0" w:line="408" w:lineRule="exact"/>
        <w:ind w:left="0" w:right="0" w:firstLine="576"/>
        <w:jc w:val="left"/>
      </w:pPr>
      <w:r>
        <w:rPr/>
        <w:t xml:space="preserve">(a) Alignment of contracting, administrative functions, and other processes to minimize administrative burden at the provider level to achieve outcomes;</w:t>
      </w:r>
    </w:p>
    <w:p>
      <w:pPr>
        <w:spacing w:before="0" w:after="0" w:line="408" w:lineRule="exact"/>
        <w:ind w:left="0" w:right="0" w:firstLine="576"/>
        <w:jc w:val="left"/>
      </w:pPr>
      <w:r>
        <w:rPr/>
        <w:t xml:space="preserve">(b) Monitoring implementation of fully integrated managed care in the regional service area, including design of an early warning system to monitor ongoing success to achieve better outcomes and to make adjustments to the system as necessary;</w:t>
      </w:r>
    </w:p>
    <w:p>
      <w:pPr>
        <w:spacing w:before="0" w:after="0" w:line="408" w:lineRule="exact"/>
        <w:ind w:left="0" w:right="0" w:firstLine="576"/>
        <w:jc w:val="left"/>
      </w:pPr>
      <w:r>
        <w:rPr/>
        <w:t xml:space="preserve">(c) Developing regional coordination processes for capital infrastructure requests, local capacity building, and other community investments;</w:t>
      </w:r>
    </w:p>
    <w:p>
      <w:pPr>
        <w:spacing w:before="0" w:after="0" w:line="408" w:lineRule="exact"/>
        <w:ind w:left="0" w:right="0" w:firstLine="576"/>
        <w:jc w:val="left"/>
      </w:pPr>
      <w:r>
        <w:rPr/>
        <w:t xml:space="preserve">(d) Identifying, using, and building on measures and data consistent with, but not limited to, RCW 70.320.030 and 41.05.690, for tracking and maintaining regional accountability for delivery system performance; and</w:t>
      </w:r>
    </w:p>
    <w:p>
      <w:pPr>
        <w:spacing w:before="0" w:after="0" w:line="408" w:lineRule="exact"/>
        <w:ind w:left="0" w:right="0" w:firstLine="576"/>
        <w:jc w:val="left"/>
      </w:pPr>
      <w:r>
        <w:rPr/>
        <w:t xml:space="preserve">(e) Discussing whether the managed health care systems awarded the contract by the authority for a regional service area should subcontract with a county-based administrative service organization or other local organization, which may include and determine, in partnership with that organization, which value-add services will best support a bidirectional system of care.</w:t>
      </w:r>
    </w:p>
    <w:p>
      <w:pPr>
        <w:spacing w:before="0" w:after="0" w:line="408" w:lineRule="exact"/>
        <w:ind w:left="0" w:right="0" w:firstLine="576"/>
        <w:jc w:val="left"/>
      </w:pPr>
      <w:r>
        <w:rPr/>
        <w:t xml:space="preserve">(4) To ensure an optimal transition, regional service areas that enter as mid-adopters must be allowed a transition period of up to one year during which the interlocal leadership structure develops and implements a local plan, including measurable milestones, to transition to fully integrated managed care. The transition plan may include provisions for the counties' organization to maintain existing contracts during some or all of the transition period if the managed care design begins during 2017 to 2018, with the mid-adopter transition year occurring in 2019.</w:t>
      </w:r>
    </w:p>
    <w:p>
      <w:pPr>
        <w:spacing w:before="0" w:after="0" w:line="408" w:lineRule="exact"/>
        <w:ind w:left="0" w:right="0" w:firstLine="576"/>
        <w:jc w:val="left"/>
      </w:pPr>
      <w:r>
        <w:rPr/>
        <w:t xml:space="preserve">(5) Nothing in this section may be used to compel contracts between a provider, integrated managed health care system, or administrative service organization.</w:t>
      </w:r>
    </w:p>
    <w:p>
      <w:pPr>
        <w:spacing w:before="0" w:after="0" w:line="408" w:lineRule="exact"/>
        <w:ind w:left="0" w:right="0" w:firstLine="576"/>
        <w:jc w:val="left"/>
      </w:pPr>
      <w:r>
        <w:rPr/>
        <w:t xml:space="preserve">(6) The interlocal leadership group expires December 1, 2021, unless the interlocal leadership group decides locally to extend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w:t>
      </w:r>
      <w:r>
        <w:rPr>
          <w:u w:val="single"/>
        </w:rPr>
        <w:t xml:space="preserve">psychiatric advanced registered nurse practitioner,</w:t>
      </w:r>
      <w:r>
        <w:rPr/>
        <w:t xml:space="preserve">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w:t>
      </w:r>
      <w:r>
        <w:t>((</w:t>
      </w:r>
      <w:r>
        <w:rPr>
          <w:strike/>
        </w:rPr>
        <w:t xml:space="preserve">a bachelor's degree from an accredited college or university, and who has had, in addition, at least two years'</w:t>
      </w:r>
      <w:r>
        <w:t>))</w:t>
      </w:r>
      <w:r>
        <w:rPr/>
        <w:t xml:space="preserve"> experience in the direct treatment of persons who have a mental illness or who are emotionally disturbed, such experience gained under the supervision of a mental health professional. </w:t>
      </w:r>
      <w:r>
        <w:t>((</w:t>
      </w:r>
      <w:r>
        <w:rPr>
          <w:strike/>
        </w:rPr>
        <w:t xml:space="preserve">"Psychiatric nurse" shall also mean any other registered nurse who has three years of such experience.</w:t>
      </w:r>
      <w:r>
        <w:t>))</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2016 c 93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w:t>
      </w:r>
      <w:r>
        <w:t>((</w:t>
      </w:r>
      <w:r>
        <w:rPr>
          <w:strike/>
        </w:rPr>
        <w:t xml:space="preserve">department of social and health services</w:t>
      </w:r>
      <w:r>
        <w:t>))</w:t>
      </w:r>
      <w:r>
        <w:rPr/>
        <w:t xml:space="preserve"> </w:t>
      </w:r>
      <w:r>
        <w:rPr>
          <w:u w:val="single"/>
        </w:rPr>
        <w:t xml:space="preserve">health care authority</w:t>
      </w:r>
      <w:r>
        <w:rPr/>
        <w:t xml:space="preserve">,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2017 c 282 s 1 and 2017 c 174 s 1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w:t>
      </w:r>
      <w:r>
        <w:t>((</w:t>
      </w:r>
      <w:r>
        <w:rPr>
          <w:strike/>
        </w:rPr>
        <w:t xml:space="preserve">department of social and health services'</w:t>
      </w:r>
      <w:r>
        <w:t>))</w:t>
      </w:r>
      <w:r>
        <w:rPr/>
        <w:t xml:space="preserve"> </w:t>
      </w:r>
      <w:r>
        <w:rPr>
          <w:u w:val="single"/>
        </w:rPr>
        <w:t xml:space="preserve">health care authority's</w:t>
      </w:r>
      <w:r>
        <w:rPr/>
        <w:t xml:space="preserve">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1994 sp.s. c 7 s 411 are each amended to read as follows:</w:t>
      </w:r>
    </w:p>
    <w:p>
      <w:pPr>
        <w:spacing w:before="0" w:after="0" w:line="408" w:lineRule="exact"/>
        <w:ind w:left="0" w:right="0" w:firstLine="576"/>
        <w:jc w:val="left"/>
      </w:pPr>
      <w:r>
        <w:rPr/>
        <w:t xml:space="preserve">A signed application to purchase a pistol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to an inquiring court or law enforcement agency, information relevant to the applicant's eligibility to purchase a pistol to an inquiring court or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shall, upon request of a court or law enforcement agency, supply such relevant information as is necessary to determine the eligibility of a person to possess a pistol or to be issued a concealed pistol license under RCW 9.41.070 or to purchase a pistol under RCW 9.41.090. </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2017 c 174 s 2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w:t>
      </w:r>
      <w:r>
        <w:t>((</w:t>
      </w:r>
      <w:r>
        <w:rPr>
          <w:strike/>
        </w:rPr>
        <w:t xml:space="preserve">department of social and health services</w:t>
      </w:r>
      <w:r>
        <w:t>))</w:t>
      </w:r>
      <w:r>
        <w:rPr/>
        <w:t xml:space="preserve"> </w:t>
      </w:r>
      <w:r>
        <w:rPr>
          <w:u w:val="single"/>
        </w:rPr>
        <w:t xml:space="preserve">health care authority</w:t>
      </w:r>
      <w:r>
        <w:rPr/>
        <w:t xml:space="preserve">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w:t>
      </w:r>
      <w:r>
        <w:t>((</w:t>
      </w:r>
      <w:r>
        <w:rPr>
          <w:strike/>
        </w:rPr>
        <w:t xml:space="preserve">department of social and health services</w:t>
      </w:r>
      <w:r>
        <w:t>))</w:t>
      </w:r>
      <w:r>
        <w:rPr/>
        <w:t xml:space="preserve"> </w:t>
      </w:r>
      <w:r>
        <w:rPr>
          <w:u w:val="single"/>
        </w:rPr>
        <w:t xml:space="preserve">health care authority</w:t>
      </w:r>
      <w:r>
        <w:rPr/>
        <w:t xml:space="preserve">,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certified by the department of </w:t>
      </w:r>
      <w:r>
        <w:t>((</w:t>
      </w:r>
      <w:r>
        <w:rPr>
          <w:strike/>
        </w:rPr>
        <w:t xml:space="preserve">social and</w:t>
      </w:r>
      <w:r>
        <w:t>))</w:t>
      </w:r>
      <w:r>
        <w:rPr/>
        <w:t xml:space="preserve"> health </w:t>
      </w:r>
      <w:r>
        <w:t>((</w:t>
      </w:r>
      <w:r>
        <w:rPr>
          <w:strike/>
        </w:rPr>
        <w:t xml:space="preserve">services</w:t>
      </w:r>
      <w:r>
        <w:t>))</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2017 3rd sp.s. c 13 s 803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state employees, retired or disabled state and school employees, and subject to school employees' benefits board direction,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state employees, retired or disabled state and school employees, and subject to school employees' benefits board direction,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 and the school employees' benefits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and by the school employees' benefits board under RCW 41.05.740,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 or the school employees' benefits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w:t>
      </w:r>
      <w:r>
        <w:t>((</w:t>
      </w:r>
      <w:r>
        <w:rPr>
          <w:strike/>
        </w:rPr>
        <w:t xml:space="preserve">On and after January 1, 1996,</w:t>
      </w:r>
      <w:r>
        <w:t>))</w:t>
      </w:r>
      <w:r>
        <w:rPr/>
        <w:t xml:space="preserve"> </w:t>
      </w:r>
      <w:r>
        <w:rPr>
          <w:u w:val="single"/>
        </w:rPr>
        <w:t xml:space="preserve">T</w:t>
      </w:r>
      <w:r>
        <w:rPr/>
        <w:t xml:space="preserve">he public employees' benefits board and the school employees' benefits board </w:t>
      </w:r>
      <w:r>
        <w:t>((</w:t>
      </w:r>
      <w:r>
        <w:rPr>
          <w:strike/>
        </w:rPr>
        <w:t xml:space="preserve">beginning October 1, 2017,</w:t>
      </w:r>
      <w:r>
        <w:t>))</w:t>
      </w:r>
      <w:r>
        <w:rPr/>
        <w:t xml:space="preserve">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2018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2018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w:t>
      </w:r>
      <w:r>
        <w:rPr>
          <w:u w:val="single"/>
        </w:rPr>
        <w:t xml:space="preserve">psychiatric advanced registered nurse practitioner</w:t>
      </w:r>
      <w:r>
        <w:rPr/>
        <w:t xml:space="preserve">,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3rd sp.s. c 6 s 816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to 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and</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w:t>
      </w:r>
      <w:r>
        <w:t>((</w:t>
      </w:r>
      <w:r>
        <w:rPr>
          <w:strike/>
        </w:rPr>
        <w:t xml:space="preserve">18.20,</w:t>
      </w:r>
      <w:r>
        <w:t>))</w:t>
      </w:r>
      <w:r>
        <w:rPr/>
        <w:t xml:space="preserve">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six million dollars in fiscal years 2018 and 2019 and twenty million dollars per fiscal year thereafter. 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w:t>
      </w:r>
      <w:r>
        <w:t>((</w:t>
      </w:r>
      <w:r>
        <w:rPr>
          <w:strike/>
        </w:rPr>
        <w:t xml:space="preserve">$6</w:t>
      </w:r>
      <w:r>
        <w:t>))</w:t>
      </w:r>
      <w:r>
        <w:rPr/>
        <w:t xml:space="preserve"> </w:t>
      </w:r>
      <w:r>
        <w:rPr>
          <w:u w:val="single"/>
        </w:rPr>
        <w:t xml:space="preserve">six</w:t>
      </w:r>
      <w:r>
        <w:rPr/>
        <w:t xml:space="preserve"> million </w:t>
      </w:r>
      <w:r>
        <w:rPr>
          <w:u w:val="single"/>
        </w:rPr>
        <w:t xml:space="preserve">dollars</w:t>
      </w:r>
      <w:r>
        <w:rPr/>
        <w:t xml:space="preserve">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2017 c 336 s 6 and 2017 c 335 s 3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term of imprisonment and electronic home monitoring under this subsection (2)(a)(i), the court may order a minimum of four days in jail and either one hundred eighty days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imprisonment and electronic home monitoring under this subsection (2)(b)(i), the court may order a minimum of six days in jail and either six months of electronic home monitoring or a one hundred twenty-day period of 24/7 sobriety program monitoring pursuant to RCW 36.28A.300 through 36.28A.390. The court may consider the offender's pretrial 24/7 sobriety program monitoring as fulfilling a portion of posttrial sentencing.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 until the person is evaluated by an alcoholism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2017 c 268 s 2 and 2017 c 266 s 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w:t>
      </w:r>
      <w:r>
        <w:t>((</w:t>
      </w:r>
      <w:r>
        <w:rPr>
          <w:strike/>
        </w:rPr>
        <w:t xml:space="preserve">,</w:t>
      </w:r>
      <w:r>
        <w:t>))</w:t>
      </w:r>
      <w:r>
        <w:rPr/>
        <w:t xml:space="preserve"> </w:t>
      </w:r>
      <w:r>
        <w:rPr>
          <w:u w:val="single"/>
        </w:rPr>
        <w:t xml:space="preserve">or</w:t>
      </w:r>
      <w:r>
        <w:rPr/>
        <w:t xml:space="preserve"> 71.12</w:t>
      </w:r>
      <w:r>
        <w:t>((</w:t>
      </w:r>
      <w:r>
        <w:rPr>
          <w:strike/>
        </w:rPr>
        <w:t xml:space="preserve">,</w:t>
      </w:r>
      <w:r>
        <w:t>))</w:t>
      </w:r>
      <w:r>
        <w:rPr/>
        <w:t xml:space="preserve"> </w:t>
      </w:r>
      <w:r>
        <w:rPr>
          <w:u w:val="single"/>
        </w:rPr>
        <w:t xml:space="preserve">RCW</w:t>
      </w:r>
      <w:r>
        <w:rPr/>
        <w:t xml:space="preserve"> or </w:t>
      </w:r>
      <w:r>
        <w:rPr>
          <w:u w:val="single"/>
        </w:rPr>
        <w:t xml:space="preserve">a state hospital defined in chapter</w:t>
      </w:r>
      <w:r>
        <w:rPr/>
        <w:t xml:space="preserve">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(17)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(19)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(20)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(21)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(22)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(23)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On July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On July 1, 2018, the health care authority must enter into an agreement with the department of health to ensure coordination of preventative behavioral health services or other necessary agreements to carry out the intent of this act.</w:t>
      </w:r>
    </w:p>
    <w:p>
      <w:pPr>
        <w:spacing w:before="0" w:after="0" w:line="408" w:lineRule="exact"/>
        <w:ind w:left="0" w:right="0" w:firstLine="576"/>
        <w:jc w:val="left"/>
      </w:pPr>
      <w:r>
        <w:rPr/>
        <w:t xml:space="preserve">(10) The health care authority may enter into agreements as necessary with the department of social and health services to carry out the transfer of duties as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On July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The department of health may enter into agreements as necessary with the department of social and health services to carry out the transfer of duties as set forth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2019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3009, 3012, 3026, 5017, and 5020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3010, 3013, 3027, 5018, and 5021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11005 of this act, 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b20ef0155855453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1388.SL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406c44bd64b53" /><Relationship Type="http://schemas.openxmlformats.org/officeDocument/2006/relationships/footer" Target="/word/footer.xml" Id="Rb20ef0155855453f" /></Relationships>
</file>