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3640365ef84d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1293</w:t>
      </w:r>
    </w:p>
    <w:p>
      <w:pPr>
        <w:jc w:val="center"/>
        <w:spacing w:before="480" w:after="0" w:line="240"/>
      </w:pPr>
      <w:r>
        <w:t xml:space="preserve">Chapter </w:t>
      </w:r>
      <w:r>
        <w:rPr/>
        <w:t xml:space="preserve">12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COLLEGE BOUND SCHOLARSHIP PLEDGE--PARENT OR GUARDIAN APPROVAL</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93</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41</w:t>
            </w:r>
            <w:r>
              <w:t xml:space="preserve">  Nays </w:t>
              <w:t xml:space="preserve">8</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1293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1:35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1293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Higher Education (originally sponsored by Representatives Ortiz-Self, Caldier, Stonier, Doglio, Orwall, Senn, Tarleton, McBride, Gregerson, Kagi, Jinkins, Santos, Pollet, Bergquist, Kilduff, Young, and Frame)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parent or guardian approval requirement for the college bound scholarship pledge; and amending RCW 28B.118.010 and 28B.118.040.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2017 3rd sp.s. c 20 s 11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t xml:space="preserve"> </w:t>
      </w:r>
      <w:r>
        <w:rPr>
          <w:u w:val="single"/>
        </w:rPr>
        <w:t xml:space="preserve">the student's</w:t>
      </w:r>
      <w:r>
        <w:rPr/>
        <w:t xml:space="preserve"> eligibility for the Washington college bound scholarship program beginning in </w:t>
      </w:r>
      <w:r>
        <w:t>((</w:t>
      </w:r>
      <w:r>
        <w:rPr>
          <w:strike/>
        </w:rPr>
        <w:t xml:space="preserve">their</w:t>
      </w:r>
      <w:r>
        <w:t>))</w:t>
      </w:r>
      <w:r>
        <w:rPr/>
        <w:t xml:space="preserve"> </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w:t>
      </w:r>
      <w:r>
        <w:rPr>
          <w:u w:val="single"/>
        </w:rPr>
        <w:t xml:space="preserve">(i)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u w:val="single"/>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u w:val="single"/>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u w:val="single"/>
        </w:rPr>
        <w:t xml:space="preserve">(c)</w:t>
      </w:r>
      <w:r>
        <w:rPr/>
        <w:t xml:space="preserve">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2015 c 244 s 4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 which includes working with other state agencies, law enforcement, or the court system to verify that eligible students do not have felony convictions;</w:t>
      </w:r>
    </w:p>
    <w:p>
      <w:pPr>
        <w:spacing w:before="0" w:after="0" w:line="408" w:lineRule="exact"/>
        <w:ind w:left="0" w:right="0" w:firstLine="576"/>
        <w:jc w:val="left"/>
      </w:pPr>
      <w:r>
        <w:rPr/>
        <w:t xml:space="preserve">(4) 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spacing w:before="0" w:after="0" w:line="408" w:lineRule="exact"/>
        <w:ind w:left="0" w:right="0" w:firstLine="576"/>
        <w:jc w:val="left"/>
      </w:pPr>
      <w:r>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t xml:space="preserve">(6) Track scholarship recipients to ensure continued eligibility and determine student compliance for awarding of scholarships;</w:t>
      </w:r>
    </w:p>
    <w:p>
      <w:pPr>
        <w:spacing w:before="0" w:after="0" w:line="408" w:lineRule="exact"/>
        <w:ind w:left="0" w:right="0" w:firstLine="576"/>
        <w:jc w:val="left"/>
      </w:pPr>
      <w:r>
        <w:rPr/>
        <w:t xml:space="preserve">(7)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t xml:space="preserve">(8) Subject to appropriation, deposit funds into the state educational trust fund;</w:t>
      </w:r>
    </w:p>
    <w:p>
      <w:pPr>
        <w:spacing w:before="0" w:after="0" w:line="408" w:lineRule="exact"/>
        <w:ind w:left="0" w:right="0" w:firstLine="576"/>
        <w:jc w:val="left"/>
      </w:pPr>
      <w:r>
        <w:rPr/>
        <w:t xml:space="preserve">(9) Purchase tuition units under the advanced college tuition payment program in chapter 28B.95 RCW to be owned and held in trust by the </w:t>
      </w:r>
      <w:r>
        <w:t>((</w:t>
      </w:r>
      <w:r>
        <w:rPr>
          <w:strike/>
        </w:rPr>
        <w:t xml:space="preserve">board</w:t>
      </w:r>
      <w:r>
        <w:t>))</w:t>
      </w:r>
      <w:r>
        <w:rPr/>
        <w:t xml:space="preserve"> </w:t>
      </w:r>
      <w:r>
        <w:rPr>
          <w:u w:val="single"/>
        </w:rPr>
        <w:t xml:space="preserve">office of student financial assistance</w:t>
      </w:r>
      <w:r>
        <w:rPr/>
        <w:t xml:space="preserve">, for the purpose of scholarship awards as provided for in this section; and</w:t>
      </w:r>
    </w:p>
    <w:p>
      <w:pPr>
        <w:spacing w:before="0" w:after="0" w:line="408" w:lineRule="exact"/>
        <w:ind w:left="0" w:right="0" w:firstLine="576"/>
        <w:jc w:val="left"/>
      </w:pPr>
      <w:r>
        <w:rPr/>
        <w:t xml:space="preserve">(10)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18,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8e0611fddc974d9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872d0afec14cf2" /><Relationship Type="http://schemas.openxmlformats.org/officeDocument/2006/relationships/footer" Target="/word/footer.xml" Id="R8e0611fddc974d99" /></Relationships>
</file>