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61f1858964e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1266</w:t>
      </w:r>
    </w:p>
    <w:p>
      <w:pPr>
        <w:jc w:val="center"/>
        <w:spacing w:before="480" w:after="0" w:line="240"/>
      </w:pPr>
      <w:r>
        <w:t xml:space="preserve">Chapter </w:t>
      </w:r>
      <w:r>
        <w:rPr/>
        <w:t xml:space="preserve">23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PETROLEUM STORAGE TANK SYSTEMS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11:12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Peterson, Young, and Fitzgibbon)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petroleum storage tank systems; amending RCW 70.149.010, 70.149.020, 70.149.030, 70.149.040, 70.149.070, and 64.70.020;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1995 c 20 s 1 are each amended to read as follows:</w:t>
      </w:r>
    </w:p>
    <w:p>
      <w:pPr>
        <w:spacing w:before="0" w:after="0" w:line="408" w:lineRule="exact"/>
        <w:ind w:left="0" w:right="0" w:firstLine="576"/>
        <w:jc w:val="left"/>
      </w:pPr>
      <w:r>
        <w:rPr/>
        <w:t xml:space="preserve">It is the intent of the legislature to establish a temporary regulatory program to assist owners and operators of </w:t>
      </w:r>
      <w:r>
        <w:t>((</w:t>
      </w:r>
      <w:r>
        <w:rPr>
          <w:strike/>
        </w:rPr>
        <w:t xml:space="preserve">heating oil tanks</w:t>
      </w:r>
      <w:r>
        <w:t>))</w:t>
      </w:r>
      <w:r>
        <w:rPr/>
        <w:t xml:space="preserve"> </w:t>
      </w:r>
      <w:r>
        <w:rPr>
          <w:u w:val="single"/>
        </w:rPr>
        <w:t xml:space="preserve">petroleum storage tank systems</w:t>
      </w:r>
      <w:r>
        <w:rPr/>
        <w:t xml:space="preserve">. The legislature finds that it is in the best interests of all citizens for </w:t>
      </w:r>
      <w:r>
        <w:t>((</w:t>
      </w:r>
      <w:r>
        <w:rPr>
          <w:strike/>
        </w:rPr>
        <w:t xml:space="preserve">heating oil tanks</w:t>
      </w:r>
      <w:r>
        <w:t>))</w:t>
      </w:r>
      <w:r>
        <w:rPr/>
        <w:t xml:space="preserve"> </w:t>
      </w:r>
      <w:r>
        <w:rPr>
          <w:u w:val="single"/>
        </w:rPr>
        <w:t xml:space="preserve">petroleum storage tank systems</w:t>
      </w:r>
      <w:r>
        <w:rPr/>
        <w:t xml:space="preserve"> to be operated safely and for tank leaks or spills to be dealt with expeditiously. The legislature further finds that it is necessary to protect tank owners from the financial hardship related to damaged heating oil tanks. The problem is especially acute because owners and operators of heating oil tanks used for space heating have been unable to obtain pollution liability insurance or insurance has been unaffordable.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020</w:t>
      </w:r>
      <w:r>
        <w:rPr/>
        <w:t xml:space="preserve"> and 1995 c 20 s 2 are each amended to read as follows:</w:t>
      </w:r>
    </w:p>
    <w:p>
      <w:pPr>
        <w:spacing w:before="0" w:after="0" w:line="408" w:lineRule="exact"/>
        <w:ind w:left="0" w:right="0" w:firstLine="576"/>
        <w:jc w:val="left"/>
      </w:pPr>
      <w:r>
        <w:rPr/>
        <w:t xml:space="preserve">This chapter may be known and cited as the Washington state </w:t>
      </w:r>
      <w:r>
        <w:t>((</w:t>
      </w:r>
      <w:r>
        <w:rPr>
          <w:strike/>
        </w:rPr>
        <w:t xml:space="preserve">heating oil</w:t>
      </w:r>
      <w:r>
        <w:t>))</w:t>
      </w:r>
      <w:r>
        <w:rPr/>
        <w:t xml:space="preserve"> pollution liability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1995 c 20 s 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"Accidental release" means a sudden or nonsudden release of heating oil, occurring after July 23, 1995, from operating a heating oil tank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w:t>
      </w:r>
      <w:r>
        <w:rPr>
          <w:u w:val="single"/>
        </w:rPr>
        <w:t xml:space="preserve">"Environmental covenant" has the same meaning as defined in RCW 64.70.020.</w:t>
      </w:r>
    </w:p>
    <w:p>
      <w:pPr>
        <w:spacing w:before="0" w:after="0" w:line="408" w:lineRule="exact"/>
        <w:ind w:left="0" w:right="0" w:firstLine="576"/>
        <w:jc w:val="left"/>
      </w:pPr>
      <w:r>
        <w:rPr>
          <w:u w:val="single"/>
        </w:rPr>
        <w:t xml:space="preserve">(7) "Facility" has the same meaning as defined in RCW 70.105D.020.</w:t>
      </w:r>
    </w:p>
    <w:p>
      <w:pPr>
        <w:spacing w:before="0" w:after="0" w:line="408" w:lineRule="exact"/>
        <w:ind w:left="0" w:right="0" w:firstLine="576"/>
        <w:jc w:val="left"/>
      </w:pPr>
      <w:r>
        <w:rPr>
          <w:u w:val="single"/>
        </w:rPr>
        <w:t xml:space="preserve">(8)</w:t>
      </w:r>
      <w:r>
        <w:rPr/>
        <w:t xml:space="preserve">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t>((</w:t>
      </w:r>
      <w:r>
        <w:rPr>
          <w:strike/>
        </w:rPr>
        <w:t xml:space="preserve">(8)</w:t>
      </w:r>
      <w:r>
        <w:t>))</w:t>
      </w:r>
      <w:r>
        <w:rPr/>
        <w:t xml:space="preserve"> </w:t>
      </w:r>
      <w:r>
        <w:rPr>
          <w:u w:val="single"/>
        </w:rPr>
        <w:t xml:space="preserve">(10) "Independent remedial action" has the same meaning as defined in RCW 70.105D.020.</w:t>
      </w:r>
    </w:p>
    <w:p>
      <w:pPr>
        <w:spacing w:before="0" w:after="0" w:line="408" w:lineRule="exact"/>
        <w:ind w:left="0" w:right="0" w:firstLine="576"/>
        <w:jc w:val="left"/>
      </w:pPr>
      <w:r>
        <w:rPr>
          <w:u w:val="single"/>
        </w:rPr>
        <w:t xml:space="preserve">(11)</w:t>
      </w:r>
      <w:r>
        <w:rPr/>
        <w:t xml:space="preserve"> "Occurrence" means an accident, including continuous or repeated exposure to conditions, that results in a release from a heating oil tank.</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"Owner or operator" means a person in control of, or having responsibility for, the daily operation of a </w:t>
      </w:r>
      <w:r>
        <w:t>((</w:t>
      </w:r>
      <w:r>
        <w:rPr>
          <w:strike/>
        </w:rPr>
        <w:t xml:space="preserve">heating oil tank</w:t>
      </w:r>
      <w:r>
        <w:t>))</w:t>
      </w:r>
      <w:r>
        <w:rPr/>
        <w:t xml:space="preserve"> </w:t>
      </w:r>
      <w:r>
        <w:rPr>
          <w:u w:val="single"/>
        </w:rPr>
        <w:t xml:space="preserve">petroleum storage tank system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(13) "Petroleum"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such as motor fuels, jet fuels, distillate fuel oils, residual fuel oils, lubricants, petroleum solvents, used oils, and heating oils. The term "petroleum" does not include propane, asphalt, or any other petroleum product that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u w:val="single"/>
        </w:rPr>
        <w:t xml:space="preserve">(14) "Petroleum storage tank system" means a storage tank system that contains petroleum or a mixture of petroleum with de minimis quantities of other substances. The systems include those containing motor fuels, jet fuels, distillate fuel oils, residual fuel oils, lubricants, petroleum solvents, used oils, and heating oils. "Petroleum storage tank system" does not include any storage tank system regulated under chapter 70.105 RCW.</w:t>
      </w:r>
    </w:p>
    <w:p>
      <w:pPr>
        <w:spacing w:before="0" w:after="0" w:line="408" w:lineRule="exact"/>
        <w:ind w:left="0" w:right="0" w:firstLine="576"/>
        <w:jc w:val="left"/>
      </w:pPr>
      <w:r>
        <w:rPr>
          <w:u w:val="single"/>
        </w:rPr>
        <w:t xml:space="preserve">(15)</w:t>
      </w:r>
      <w:r>
        <w:rPr/>
        <w:t xml:space="preserve"> "Pollution liability insurance agency" means the Washington state pollution liability insurance agency.</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t>((</w:t>
      </w:r>
      <w:r>
        <w:rPr>
          <w:strike/>
        </w:rPr>
        <w:t xml:space="preserve">(12)</w:t>
      </w:r>
      <w:r>
        <w:t>))</w:t>
      </w:r>
      <w:r>
        <w:rPr/>
        <w:t xml:space="preserve"> </w:t>
      </w:r>
      <w:r>
        <w:rPr>
          <w:u w:val="single"/>
        </w:rPr>
        <w:t xml:space="preserve">(17)</w:t>
      </w:r>
      <w:r>
        <w:rPr/>
        <w:t xml:space="preserve"> "Release" means a spill, leak, emission, escape, or leaching into the environment.</w:t>
      </w:r>
    </w:p>
    <w:p>
      <w:pPr>
        <w:spacing w:before="0" w:after="0" w:line="408" w:lineRule="exact"/>
        <w:ind w:left="0" w:right="0" w:firstLine="576"/>
        <w:jc w:val="left"/>
      </w:pPr>
      <w:r>
        <w:t>((</w:t>
      </w:r>
      <w:r>
        <w:rPr>
          <w:strike/>
        </w:rPr>
        <w:t xml:space="preserve">(13)</w:t>
      </w:r>
      <w:r>
        <w:t>))</w:t>
      </w:r>
      <w:r>
        <w:rPr/>
        <w:t xml:space="preserve"> </w:t>
      </w:r>
      <w:r>
        <w:rPr>
          <w:u w:val="single"/>
        </w:rPr>
        <w:t xml:space="preserve">(18) "Remedial action" has the same meaning as defined in RCW 70.105D.020.</w:t>
      </w:r>
    </w:p>
    <w:p>
      <w:pPr>
        <w:spacing w:before="0" w:after="0" w:line="408" w:lineRule="exact"/>
        <w:ind w:left="0" w:right="0" w:firstLine="576"/>
        <w:jc w:val="left"/>
      </w:pPr>
      <w:r>
        <w:rPr>
          <w:u w:val="single"/>
        </w:rPr>
        <w:t xml:space="preserve">(19)</w:t>
      </w:r>
      <w:r>
        <w:rPr/>
        <w:t xml:space="preserve"> "Remedial action costs" means reasonable costs that are attributable to or associated with a remedial action.</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"Third-party liability" means the liability of a heating oil tank owner to another person due to property damage or personal injury that results from a leak or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2009 c 560 s 11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w:t>
      </w:r>
      <w:r>
        <w:t>((</w:t>
      </w:r>
      <w:r>
        <w:rPr>
          <w:strike/>
        </w:rPr>
        <w:t xml:space="preserve">to owners and operators of active and abandoned heating oil tanks if contamination from an active or abandoned heating oil tank is suspected. Advice and assistance regarding administrative and technical requirements may include observation of testing or site assessment and review of the results of reports. If the director finds that contamination is not present or that the contamination is apparently minor and not a threat to human health or the environment, the director may provide written opinions and conclusions on the results of the investigation to owners and operators of active and abandoned heating oil tanks</w:t>
      </w:r>
      <w:r>
        <w:t>))</w:t>
      </w:r>
      <w:r>
        <w:rPr/>
        <w:t xml:space="preserve"> </w:t>
      </w:r>
      <w:r>
        <w:rPr>
          <w:u w:val="single"/>
        </w:rPr>
        <w:t xml:space="preserve">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u w:val="single"/>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r>
        <w:rPr/>
        <w:t xml:space="preserve">.</w:t>
      </w:r>
    </w:p>
    <w:p>
      <w:pPr>
        <w:spacing w:before="0" w:after="0" w:line="408" w:lineRule="exact"/>
        <w:ind w:left="0" w:right="0" w:firstLine="576"/>
        <w:jc w:val="left"/>
      </w:pPr>
      <w:r>
        <w:rPr>
          <w:u w:val="single"/>
        </w:rPr>
        <w:t xml:space="preserve">(b)</w:t>
      </w:r>
      <w:r>
        <w:rPr/>
        <w:t xml:space="preserve">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u w:val="single"/>
        </w:rPr>
        <w:t xml:space="preserve">(c)</w:t>
      </w:r>
      <w:r>
        <w:rPr/>
        <w:t xml:space="preserve">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r>
        <w:rPr>
          <w:u w:val="single"/>
        </w:rPr>
        <w:t xml:space="preserve">;</w:t>
      </w:r>
    </w:p>
    <w:p>
      <w:pPr>
        <w:spacing w:before="0" w:after="0" w:line="408" w:lineRule="exact"/>
        <w:ind w:left="0" w:right="0" w:firstLine="576"/>
        <w:jc w:val="left"/>
      </w:pPr>
      <w:r>
        <w:rPr>
          <w:u w:val="single"/>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u w:val="single"/>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u w:val="single"/>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u w:val="single"/>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070</w:t>
      </w:r>
      <w:r>
        <w:rPr/>
        <w:t xml:space="preserve"> and 2004 c 203 s 2 are each amended to read as follows:</w:t>
      </w:r>
    </w:p>
    <w:p>
      <w:pPr>
        <w:spacing w:before="0" w:after="0" w:line="408" w:lineRule="exact"/>
        <w:ind w:left="0" w:right="0" w:firstLine="576"/>
        <w:jc w:val="left"/>
      </w:pPr>
      <w:r>
        <w:rPr/>
        <w:t xml:space="preserve">(1) The heating oil pollution liability trust account is created in the custody of the state treasurer. All receipts from the pollution liability insurance fee collected under RCW 70.149.080 and reinsurance premiums shall be deposited into the account. Expenditures from the account may be used only for the purposes set out under this chapter. Only the director or the director's designee may authorize expenditures from the account. The account is subject to allotment procedures under chapter 43.88 RCW, but no appropriation is required for expenditures. </w:t>
      </w:r>
      <w:r>
        <w:t>((</w:t>
      </w:r>
      <w:r>
        <w:rPr>
          <w:strike/>
        </w:rPr>
        <w:t xml:space="preserve">Any residue in the account in excess of funds needed to meet administrative costs for January of the following year shall be transferred at the end of the calendar year to the pollution liability insurance program trust account.</w:t>
      </w:r>
      <w:r>
        <w:t>))</w:t>
      </w:r>
    </w:p>
    <w:p>
      <w:pPr>
        <w:spacing w:before="0" w:after="0" w:line="408" w:lineRule="exact"/>
        <w:ind w:left="0" w:right="0" w:firstLine="576"/>
        <w:jc w:val="left"/>
      </w:pPr>
      <w:r>
        <w:rPr/>
        <w:t xml:space="preserve">(2) Money in the account may be used by the director for the following purposes:</w:t>
      </w:r>
    </w:p>
    <w:p>
      <w:pPr>
        <w:spacing w:before="0" w:after="0" w:line="408" w:lineRule="exact"/>
        <w:ind w:left="0" w:right="0" w:firstLine="576"/>
        <w:jc w:val="left"/>
      </w:pPr>
      <w:r>
        <w:rPr/>
        <w:t xml:space="preserve">(a) Corrective action costs;</w:t>
      </w:r>
    </w:p>
    <w:p>
      <w:pPr>
        <w:spacing w:before="0" w:after="0" w:line="408" w:lineRule="exact"/>
        <w:ind w:left="0" w:right="0" w:firstLine="576"/>
        <w:jc w:val="left"/>
      </w:pPr>
      <w:r>
        <w:rPr/>
        <w:t xml:space="preserve">(b) Third-party liability claims;</w:t>
      </w:r>
    </w:p>
    <w:p>
      <w:pPr>
        <w:spacing w:before="0" w:after="0" w:line="408" w:lineRule="exact"/>
        <w:ind w:left="0" w:right="0" w:firstLine="576"/>
        <w:jc w:val="left"/>
      </w:pPr>
      <w:r>
        <w:rPr/>
        <w:t xml:space="preserve">(c) Costs associated with claims administration;</w:t>
      </w:r>
    </w:p>
    <w:p>
      <w:pPr>
        <w:spacing w:before="0" w:after="0" w:line="408" w:lineRule="exact"/>
        <w:ind w:left="0" w:right="0" w:firstLine="576"/>
        <w:jc w:val="left"/>
      </w:pPr>
      <w:r>
        <w:rPr/>
        <w:t xml:space="preserve">(d) Purchase of an insurance policy to cover all registered heating oil tanks, and reinsurance of the policy; and</w:t>
      </w:r>
    </w:p>
    <w:p>
      <w:pPr>
        <w:spacing w:before="0" w:after="0" w:line="408" w:lineRule="exact"/>
        <w:ind w:left="0" w:right="0" w:firstLine="576"/>
        <w:jc w:val="left"/>
      </w:pPr>
      <w:r>
        <w:rPr/>
        <w:t xml:space="preserve">(e) Administrative expenses of the program, including personnel, equipment, supplies, and providing advice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2007 c 104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w:t>
      </w:r>
      <w:r>
        <w:rPr>
          <w:u w:val="single"/>
        </w:rPr>
        <w:t xml:space="preserve">, the pollution liability insurance agency,</w:t>
      </w:r>
      <w:r>
        <w:rPr/>
        <w:t xml:space="preserve">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(3)(a) "Common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t xml:space="preserve">(b) "Common interest community" includes but is not limited to:</w:t>
      </w:r>
    </w:p>
    <w:p>
      <w:pPr>
        <w:spacing w:before="0" w:after="0" w:line="408" w:lineRule="exact"/>
        <w:ind w:left="0" w:right="0" w:firstLine="576"/>
        <w:jc w:val="left"/>
      </w:pPr>
      <w:r>
        <w:rPr/>
        <w:t xml:space="preserve">(i) An association of apartment owners as defined in RCW 64.32.010;</w:t>
      </w:r>
    </w:p>
    <w:p>
      <w:pPr>
        <w:spacing w:before="0" w:after="0" w:line="408" w:lineRule="exact"/>
        <w:ind w:left="0" w:right="0" w:firstLine="576"/>
        <w:jc w:val="left"/>
      </w:pPr>
      <w:r>
        <w:rPr/>
        <w:t xml:space="preserve">(ii) A unit owners' association as defined in RCW 64.34.020 and organized under RCW 64.34.300;</w:t>
      </w:r>
    </w:p>
    <w:p>
      <w:pPr>
        <w:spacing w:before="0" w:after="0" w:line="408" w:lineRule="exact"/>
        <w:ind w:left="0" w:right="0" w:firstLine="576"/>
        <w:jc w:val="left"/>
      </w:pPr>
      <w:r>
        <w:rPr/>
        <w:t xml:space="preserve">(iii) A master association as provided in RCW 64.34.276;</w:t>
      </w:r>
    </w:p>
    <w:p>
      <w:pPr>
        <w:spacing w:before="0" w:after="0" w:line="408" w:lineRule="exact"/>
        <w:ind w:left="0" w:right="0" w:firstLine="576"/>
        <w:jc w:val="left"/>
      </w:pPr>
      <w:r>
        <w:rPr/>
        <w:t xml:space="preserve">(iv) A subassociation as provided in RCW 64.34.278; and</w:t>
      </w:r>
    </w:p>
    <w:p>
      <w:pPr>
        <w:spacing w:before="0" w:after="0" w:line="408" w:lineRule="exact"/>
        <w:ind w:left="0" w:right="0" w:firstLine="576"/>
        <w:jc w:val="left"/>
      </w:pPr>
      <w:r>
        <w:rPr/>
        <w:t xml:space="preserve">(v) A homeowners' association as defined in RCW 64.38.010.</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70.95, 70.98, 70.105, 70.105D,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70.105D RCW </w:t>
      </w:r>
      <w:r>
        <w:rPr>
          <w:u w:val="single"/>
        </w:rPr>
        <w:t xml:space="preserve">or technical assistance program authorized under chapter 70.149 RCW</w:t>
      </w:r>
      <w:r>
        <w:rPr/>
        <w:t xml:space="preserve">.</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the adoption of rules will not delay the implementation of remedial actions, the pollution liability insurance agency may implement the technical advice and assistance program expansion to include petroleum storage tank systems through interpretive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pollution liability insurance agency may not expand the technical advice and assistance program to include petroleum storage tank systems until January 1, 2018. The pollution liability insurance agency may include heating oil tanks, including abandoned and decommissioned tanks, in the technical advice and assistance program as of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a8365548764644a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5d6f0ae8ae4c61" /><Relationship Type="http://schemas.openxmlformats.org/officeDocument/2006/relationships/footer" Target="/word/footer.xml" Id="Ra8365548764644aa" /></Relationships>
</file>