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dcda1f06a44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1198</w:t>
      </w:r>
    </w:p>
    <w:p>
      <w:pPr>
        <w:jc w:val="center"/>
        <w:spacing w:before="480" w:after="0" w:line="240"/>
      </w:pPr>
      <w:r>
        <w:t xml:space="preserve">Chapter </w:t>
      </w:r>
      <w:r>
        <w:rPr/>
        <w:t xml:space="preserve">22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IMPAIRED PODIATRIC PRACTICING PROGRAM--SUBSTANCE ABUSE MONITORING PROGRAM CONTRACT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92</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11:10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1198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Harris, Cody, and Riccelli</w:t>
      </w:r>
    </w:p>
    <w:p/>
    <w:p>
      <w:r>
        <w:rPr>
          <w:t xml:space="preserve">Read first time 01/13/17.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monitoring for podiatric physicians and surgeons; and adding a new section to chapter 18.22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To implement an impaired podiatric practitioner program as authorized by RCW 18.130.175, the board shall enter into a contract with a voluntary substance abuse monitoring program. The impaired podiatric practitioner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podiatric practitioners to treatment programs;</w:t>
      </w:r>
    </w:p>
    <w:p>
      <w:pPr>
        <w:spacing w:before="0" w:after="0" w:line="408" w:lineRule="exact"/>
        <w:ind w:left="0" w:right="0" w:firstLine="576"/>
        <w:jc w:val="left"/>
      </w:pPr>
      <w:r>
        <w:rPr/>
        <w:t xml:space="preserve">(e) Monitoring the treatment and rehabilitation of impaired podiatric practitioners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podiatric practitioners;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on each license issuance or renewal to be collected by the department from every podiatric practitioner licensed under this chapter. These moneys must be placed in the health professions account to be used solely for implementation of the impaired podiatric practitioner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ab11f1bfb3ca469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8385646de74e1e" /><Relationship Type="http://schemas.openxmlformats.org/officeDocument/2006/relationships/footer" Target="/word/footer.xml" Id="Rab11f1bfb3ca4697" /></Relationships>
</file>