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7d4f64973843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6229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27</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6229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6229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Van De Wege, Chase, Conway, Wellman, Hasegawa, Saldaña, Keiser, Hunt, and Kuderer</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employers to provide exclusive bargaining representatives reasonable access to new employees for the purposes of presenting information about their exclusive bargaining representative; adding a new section to chapter 41.56 RCW; adding a new section to chapter 28B.52 RCW; adding a new section to chapter 41.59 RCW; adding a new section to chapter 41.76 RCW; adding a new section to chapter 41.80 RCW; adding a new section to chapter 47.64 RCW; and adding a new section to chapter 49.39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The employer must provide the exclusive bargaining representative reasonable access to new employees of the bargaining unit for the purposes of presenting information about their exclusive bargaining representative to the new employee. The presentation may occur during a new employee orientation provided by the employer, or at another time mutually agreed to by the employer and the exclusive bargaining representative.</w:t>
      </w:r>
    </w:p>
    <w:p>
      <w:pPr>
        <w:spacing w:before="0" w:after="0" w:line="408" w:lineRule="exact"/>
        <w:ind w:left="0" w:right="0" w:firstLine="576"/>
        <w:jc w:val="left"/>
      </w:pPr>
      <w:r>
        <w:rPr/>
        <w:t xml:space="preserve">(b) No employee may be mandated to attend the meetings or presentations by the exclusive bargaining representative.</w:t>
      </w:r>
    </w:p>
    <w:p>
      <w:pPr>
        <w:spacing w:before="0" w:after="0" w:line="408" w:lineRule="exact"/>
        <w:ind w:left="0" w:right="0" w:firstLine="576"/>
        <w:jc w:val="left"/>
      </w:pPr>
      <w:r>
        <w:rPr/>
        <w:t xml:space="preserve">(c) "Reasonable access" for the purposes of this section means:</w:t>
      </w:r>
    </w:p>
    <w:p>
      <w:pPr>
        <w:spacing w:before="0" w:after="0" w:line="408" w:lineRule="exact"/>
        <w:ind w:left="0" w:right="0" w:firstLine="576"/>
        <w:jc w:val="left"/>
      </w:pPr>
      <w:r>
        <w:rPr/>
        <w:t xml:space="preserve">(i) The access to the new employee occurs within ninety days of the employee's start date within the bargaining unit;</w:t>
      </w:r>
    </w:p>
    <w:p>
      <w:pPr>
        <w:spacing w:before="0" w:after="0" w:line="408" w:lineRule="exact"/>
        <w:ind w:left="0" w:right="0" w:firstLine="576"/>
        <w:jc w:val="left"/>
      </w:pPr>
      <w:r>
        <w:rPr/>
        <w:t xml:space="preserve">(ii) The access is for no less than thirty minutes; and</w:t>
      </w:r>
    </w:p>
    <w:p>
      <w:pPr>
        <w:spacing w:before="0" w:after="0" w:line="408" w:lineRule="exact"/>
        <w:ind w:left="0" w:right="0" w:firstLine="576"/>
        <w:jc w:val="left"/>
      </w:pPr>
      <w:r>
        <w:rPr/>
        <w:t xml:space="preserve">(iii) The access occurs during the new employee's regular work hours at the employee's regular worksite, or at a location mutually agreed to by the employer and the exclusive bargaining representative.</w:t>
      </w:r>
    </w:p>
    <w:p>
      <w:pPr>
        <w:spacing w:before="0" w:after="0" w:line="408" w:lineRule="exact"/>
        <w:ind w:left="0" w:right="0" w:firstLine="576"/>
        <w:jc w:val="left"/>
      </w:pPr>
      <w:r>
        <w:rPr/>
        <w:t xml:space="preserve">(2) Nothing in this section prohibits an employer from agreeing to longer or more frequent new employee access, but in no case may an employer agree to less access than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
      <w:pPr>
        <w:jc w:val="center"/>
      </w:pPr>
      <w:r>
        <w:rPr>
          <w:b/>
        </w:rPr>
        <w:t>--- END ---</w:t>
      </w:r>
    </w:p>
    <w:sectPr>
      <w:pgNumType w:start="1"/>
      <w:footerReference xmlns:r="http://schemas.openxmlformats.org/officeDocument/2006/relationships" r:id="Rdd02dc7c35494e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c32c5c8a7c4fd3" /><Relationship Type="http://schemas.openxmlformats.org/officeDocument/2006/relationships/footer" Target="/word/footer.xml" Id="Rdd02dc7c35494e0f" /></Relationships>
</file>