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35f3d3258d412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6163</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6, 2018</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2018</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6163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6163</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Senators Becker, Cleveland, Fain, Bailey, Brown, Wilson, Short, Conway, Keiser, and Kuderer</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duration of the collaborative for the advancement of telemedicine; and amending 2016 c 68 s 2 (uncodified).</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68 s 2</w:t>
      </w:r>
      <w:r>
        <w:rPr/>
        <w:t xml:space="preserve"> (uncodified) is amended to read as follows:</w:t>
      </w:r>
    </w:p>
    <w:p>
      <w:pPr>
        <w:spacing w:before="0" w:after="0" w:line="408" w:lineRule="exact"/>
        <w:ind w:left="0" w:right="0" w:firstLine="576"/>
        <w:jc w:val="left"/>
      </w:pPr>
      <w:r>
        <w:rPr/>
        <w:t xml:space="preserve">(1) The collaborative for the advancement of telemedicine is created to enhance the understanding and use of health services provided through telemedicine and other similar models in Washington state. The collaborative shall be hosted by the University of Washington telehealth services and shall be comprised of one member from each of the two largest caucuses of the senate and the house of representatives, and representatives from the academic community, hospitals, clinics, and health care providers in primary care and specialty practices, carriers, and other interested parties.</w:t>
      </w:r>
    </w:p>
    <w:p>
      <w:pPr>
        <w:spacing w:before="0" w:after="0" w:line="408" w:lineRule="exact"/>
        <w:ind w:left="0" w:right="0" w:firstLine="576"/>
        <w:jc w:val="left"/>
      </w:pPr>
      <w:r>
        <w:rPr/>
        <w:t xml:space="preserve">(2) By July 1, 2016, the collaborative shall be convened. The collaborative shall develop recommendations on improving reimbursement and access to services, including originating site restrictions, provider to provider consultative models, and technologies and models of care not currently reimbursed; identify the existence of telemedicine best practices, guidelines, billing requirements, and fraud prevention developed by recognized medical and telemedicine organizations; and explore other priorities identified by members of the collaborative. After review of existing resources, the collaborative shall explore and make recommendations on whether to create a technical assistance center to support providers in implementing or expanding services delivered through telemedicine technologies.</w:t>
      </w:r>
    </w:p>
    <w:p>
      <w:pPr>
        <w:spacing w:before="0" w:after="0" w:line="408" w:lineRule="exact"/>
        <w:ind w:left="0" w:right="0" w:firstLine="576"/>
        <w:jc w:val="left"/>
      </w:pPr>
      <w:r>
        <w:rPr/>
        <w:t xml:space="preserve">(3) The collaborative must submit an initial progress report by December 1, 2016, with follow-up policy reports including recommendations by December 1, 2017, </w:t>
      </w:r>
      <w:r>
        <w:t>((</w:t>
      </w:r>
      <w:r>
        <w:rPr>
          <w:strike/>
        </w:rPr>
        <w:t xml:space="preserve">and</w:t>
      </w:r>
      <w:r>
        <w:t>))</w:t>
      </w:r>
      <w:r>
        <w:rPr/>
        <w:t xml:space="preserve"> December 1, 2018</w:t>
      </w:r>
      <w:r>
        <w:rPr>
          <w:u w:val="single"/>
        </w:rPr>
        <w:t xml:space="preserve">, and December 1, 2021</w:t>
      </w:r>
      <w:r>
        <w:rPr/>
        <w:t xml:space="preserve">. The reports shall be shared with the relevant professional associations, governing boards or commissions, and the health care committees of the legislature.</w:t>
      </w:r>
    </w:p>
    <w:p>
      <w:pPr>
        <w:spacing w:before="0" w:after="0" w:line="408" w:lineRule="exact"/>
        <w:ind w:left="0" w:right="0" w:firstLine="576"/>
        <w:jc w:val="left"/>
      </w:pPr>
      <w:r>
        <w:rPr/>
        <w:t xml:space="preserve">(4) The meetings of the board shall be open public meetings, with meeting summaries available on a web page.</w:t>
      </w:r>
    </w:p>
    <w:p>
      <w:pPr>
        <w:spacing w:before="0" w:after="0" w:line="408" w:lineRule="exact"/>
        <w:ind w:left="0" w:right="0" w:firstLine="576"/>
        <w:jc w:val="left"/>
      </w:pPr>
      <w:r>
        <w:rPr/>
        <w:t xml:space="preserve">(5) The future of the collaborative shall be reviewed by the legislature with consideration of ongoing technical assistance needs and opportunities. The collaborative terminates December 31, </w:t>
      </w:r>
      <w:r>
        <w:t>((</w:t>
      </w:r>
      <w:r>
        <w:rPr>
          <w:strike/>
        </w:rPr>
        <w:t xml:space="preserve">2018</w:t>
      </w:r>
      <w:r>
        <w:t>))</w:t>
      </w:r>
      <w:r>
        <w:rPr/>
        <w:t xml:space="preserve"> </w:t>
      </w:r>
      <w:r>
        <w:rPr>
          <w:u w:val="single"/>
        </w:rPr>
        <w:t xml:space="preserve">2021</w:t>
      </w:r>
      <w:r>
        <w:rPr/>
        <w:t xml:space="preserve">.</w:t>
      </w:r>
    </w:p>
    <w:p/>
    <w:p>
      <w:pPr>
        <w:jc w:val="center"/>
      </w:pPr>
      <w:r>
        <w:rPr>
          <w:b/>
        </w:rPr>
        <w:t>--- END ---</w:t>
      </w:r>
    </w:p>
    <w:sectPr>
      <w:pgNumType w:start="1"/>
      <w:footerReference xmlns:r="http://schemas.openxmlformats.org/officeDocument/2006/relationships" r:id="R47f3cf493c06400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6163.PL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9555a855d24ecb" /><Relationship Type="http://schemas.openxmlformats.org/officeDocument/2006/relationships/footer" Target="/word/footer.xml" Id="R47f3cf493c064002" /></Relationships>
</file>