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ec3120e7a34d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5976</w:t>
      </w:r>
    </w:p>
    <w:p>
      <w:pPr>
        <w:jc w:val="center"/>
        <w:spacing w:before="720" w:after="0" w:line="240"/>
      </w:pPr>
      <w:r>
        <w:t>65th Legislature</w:t>
      </w:r>
    </w:p>
    <w:p>
      <w:pPr>
        <w:jc w:val="center"/>
        <w:spacing w:before="0" w:after="1440" w:line="240"/>
      </w:pPr>
      <w:r>
        <w:t>2017 3rd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5976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5976</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Senators Rivers and Liias</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wages or hours of individual providers; amending RCW 74.39A.270;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2016 sp.s. c 30 s 1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subsection (9) of this section, no agency or department of the state may establish policies or rules governing the wages or hours of individual providers.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(b)(i) The requirement that the number of hours the department may pay any single individual provider is limited to:</w:t>
      </w:r>
    </w:p>
    <w:p>
      <w:pPr>
        <w:spacing w:before="0" w:after="0" w:line="408" w:lineRule="exact"/>
        <w:ind w:left="0" w:right="0" w:firstLine="576"/>
        <w:jc w:val="left"/>
      </w:pPr>
      <w:r>
        <w:rPr/>
        <w:t xml:space="preserve">(A) Sixty hours each workweek if the individual provider was working an average number of hours in excess of forty hours for the workweeks during January 2016, except for fiscal years 2016 </w:t>
      </w:r>
      <w:r>
        <w:t>((</w:t>
      </w:r>
      <w:r>
        <w:rPr>
          <w:strike/>
        </w:rPr>
        <w:t xml:space="preserve">and</w:t>
      </w:r>
      <w:r>
        <w:t>))</w:t>
      </w:r>
      <w:r>
        <w:rPr>
          <w:u w:val="single"/>
        </w:rPr>
        <w:t xml:space="preserve">,</w:t>
      </w:r>
      <w:r>
        <w:rPr/>
        <w:t xml:space="preserve"> 2017, </w:t>
      </w:r>
      <w:r>
        <w:rPr>
          <w:u w:val="single"/>
        </w:rPr>
        <w:t xml:space="preserve">and 2018,</w:t>
      </w:r>
      <w:r>
        <w:rPr/>
        <w:t xml:space="preserve"> the limit is sixty-five hours each workweek; or</w:t>
      </w:r>
    </w:p>
    <w:p>
      <w:pPr>
        <w:spacing w:before="0" w:after="0" w:line="408" w:lineRule="exact"/>
        <w:ind w:left="0" w:right="0" w:firstLine="576"/>
        <w:jc w:val="left"/>
      </w:pPr>
      <w:r>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t xml:space="preserve">(iii) Additional hours may be authorized for required training under RCW 74.39A.074, 74.39A.076, and 74.39A.341.</w:t>
      </w:r>
    </w:p>
    <w:p>
      <w:pPr>
        <w:spacing w:before="0" w:after="0" w:line="408" w:lineRule="exact"/>
        <w:ind w:left="0" w:right="0" w:firstLine="576"/>
        <w:jc w:val="left"/>
      </w:pPr>
      <w:r>
        <w:rPr/>
        <w:t xml:space="preserve">(iv) An individual provider may appeal to the department for qualification for the hour limitation in (b)(i)(A) of this subsection if the average weekly hours the </w:t>
      </w:r>
      <w:r>
        <w:t>((</w:t>
      </w:r>
      <w:r>
        <w:rPr>
          <w:strike/>
        </w:rPr>
        <w:t xml:space="preserve">[individual]</w:t>
      </w:r>
      <w:r>
        <w:t>))</w:t>
      </w:r>
      <w:r>
        <w:rPr/>
        <w:t xml:space="preserve"> </w:t>
      </w:r>
      <w:r>
        <w:rPr>
          <w:u w:val="single"/>
        </w:rPr>
        <w:t xml:space="preserve">individual</w:t>
      </w:r>
      <w:r>
        <w:rPr/>
        <w:t xml:space="preserv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t xml:space="preserve">(v) No individual provider is subject to the hour limitations in (b)(i)(A) of this subsection until the department has conducted a review of the plan of care for the consumers served by the </w:t>
      </w:r>
      <w:r>
        <w:t>((</w:t>
      </w:r>
      <w:r>
        <w:rPr>
          <w:strike/>
        </w:rPr>
        <w:t xml:space="preserve">[individual]</w:t>
      </w:r>
      <w:r>
        <w:t>))</w:t>
      </w:r>
      <w:r>
        <w:rPr/>
        <w:t xml:space="preserve"> </w:t>
      </w:r>
      <w:r>
        <w:rPr>
          <w:u w:val="single"/>
        </w:rPr>
        <w:t xml:space="preserve">individual</w:t>
      </w:r>
      <w:r>
        <w:rPr/>
        <w:t xml:space="preserve"> provider. The department shall review plans of care expeditiously, starting with consumers connected with the most individual provider overtime;</w:t>
      </w:r>
    </w:p>
    <w:p>
      <w:pPr>
        <w:spacing w:before="0" w:after="0" w:line="408" w:lineRule="exact"/>
        <w:ind w:left="0" w:right="0" w:firstLine="576"/>
        <w:jc w:val="left"/>
      </w:pPr>
      <w:r>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t xml:space="preserve">(a) Ensuring that consumers are not at increased risk for institutionalization;</w:t>
      </w:r>
    </w:p>
    <w:p>
      <w:pPr>
        <w:spacing w:before="0" w:after="0" w:line="408" w:lineRule="exact"/>
        <w:ind w:left="0" w:right="0" w:firstLine="576"/>
        <w:jc w:val="left"/>
      </w:pPr>
      <w:r>
        <w:rPr/>
        <w:t xml:space="preserve">(b) When there is a limited number of </w:t>
      </w:r>
      <w:r>
        <w:t>((</w:t>
      </w:r>
      <w:r>
        <w:rPr>
          <w:strike/>
        </w:rPr>
        <w:t xml:space="preserve">[individual]</w:t>
      </w:r>
      <w:r>
        <w:t>))</w:t>
      </w:r>
      <w:r>
        <w:rPr/>
        <w:t xml:space="preserve"> </w:t>
      </w:r>
      <w:r>
        <w:rPr>
          <w:u w:val="single"/>
        </w:rPr>
        <w:t xml:space="preserve">individual</w:t>
      </w:r>
      <w:r>
        <w:rPr/>
        <w:t xml:space="preserve"> providers within the geographic region of the consumer;</w:t>
      </w:r>
    </w:p>
    <w:p>
      <w:pPr>
        <w:spacing w:before="0" w:after="0" w:line="408" w:lineRule="exact"/>
        <w:ind w:left="0" w:right="0" w:firstLine="576"/>
        <w:jc w:val="left"/>
      </w:pPr>
      <w:r>
        <w:rPr/>
        <w:t xml:space="preserve">(c) When there is a limited number of </w:t>
      </w:r>
      <w:r>
        <w:t>((</w:t>
      </w:r>
      <w:r>
        <w:rPr>
          <w:strike/>
        </w:rPr>
        <w:t xml:space="preserve">[individual]</w:t>
      </w:r>
      <w:r>
        <w:t>))</w:t>
      </w:r>
      <w:r>
        <w:rPr/>
        <w:t xml:space="preserve"> </w:t>
      </w:r>
      <w:r>
        <w:rPr>
          <w:u w:val="single"/>
        </w:rPr>
        <w:t xml:space="preserve">individual</w:t>
      </w:r>
      <w:r>
        <w:rPr/>
        <w:t xml:space="preserve"> providers available to support a consumer with complex medical and behavioral needs or specific language needs;</w:t>
      </w:r>
    </w:p>
    <w:p>
      <w:pPr>
        <w:spacing w:before="0" w:after="0" w:line="408" w:lineRule="exact"/>
        <w:ind w:left="0" w:right="0" w:firstLine="576"/>
        <w:jc w:val="left"/>
      </w:pPr>
      <w:r>
        <w:rPr/>
        <w:t xml:space="preserve">(d) Emergencies that could pose a health and safety risk for consumers; and</w:t>
      </w:r>
    </w:p>
    <w:p>
      <w:pPr>
        <w:spacing w:before="0" w:after="0" w:line="408" w:lineRule="exact"/>
        <w:ind w:left="0" w:right="0" w:firstLine="576"/>
        <w:jc w:val="left"/>
      </w:pPr>
      <w:r>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(i) Two members from each of the two largest caucuses of the senate, appointed by the respective caucus leaders.</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(e) The department is authorized to adopt rules, including emergency rules under RCW 34.05.350,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6731d1c831d4f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38d694c1b246af" /><Relationship Type="http://schemas.openxmlformats.org/officeDocument/2006/relationships/footer" Target="/word/footer.xml" Id="R66731d1c831d4fa7" /></Relationships>
</file>